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4F81FDB" w:rsidR="00A209D6" w:rsidRPr="00B266B0" w:rsidRDefault="00A209D6" w:rsidP="005240AE">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009E49BA" w:rsidRPr="009E49BA">
        <w:rPr>
          <w:bCs/>
          <w:noProof w:val="0"/>
          <w:sz w:val="24"/>
          <w:szCs w:val="24"/>
        </w:rPr>
        <w:t>R2-2200182</w:t>
      </w:r>
    </w:p>
    <w:p w14:paraId="11776FA6" w14:textId="2B67820D" w:rsidR="00A209D6" w:rsidRPr="00465587" w:rsidRDefault="00A36F5F" w:rsidP="005240AE">
      <w:pPr>
        <w:pStyle w:val="Header"/>
        <w:tabs>
          <w:tab w:val="right" w:pos="9639"/>
        </w:tabs>
        <w:jc w:val="both"/>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5240AE">
      <w:pPr>
        <w:pStyle w:val="Header"/>
        <w:jc w:val="both"/>
        <w:rPr>
          <w:bCs/>
          <w:noProof w:val="0"/>
          <w:sz w:val="24"/>
        </w:rPr>
      </w:pPr>
    </w:p>
    <w:p w14:paraId="403CB9C0" w14:textId="77777777" w:rsidR="00A209D6" w:rsidRPr="00B266B0" w:rsidRDefault="00A209D6" w:rsidP="005240AE">
      <w:pPr>
        <w:pStyle w:val="Header"/>
        <w:jc w:val="both"/>
        <w:rPr>
          <w:bCs/>
          <w:noProof w:val="0"/>
          <w:sz w:val="24"/>
        </w:rPr>
      </w:pPr>
    </w:p>
    <w:p w14:paraId="74AEDB1B" w14:textId="55D930B5" w:rsidR="00A209D6" w:rsidRPr="00B266B0" w:rsidRDefault="00A209D6" w:rsidP="005240AE">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043E89">
        <w:rPr>
          <w:rFonts w:cs="Arial"/>
          <w:b/>
          <w:bCs/>
          <w:sz w:val="24"/>
          <w:lang w:eastAsia="ja-JP"/>
        </w:rPr>
        <w:t>8.5.2</w:t>
      </w:r>
    </w:p>
    <w:p w14:paraId="73188B46" w14:textId="77777777" w:rsidR="00A209D6" w:rsidRPr="00B266B0" w:rsidRDefault="00A209D6" w:rsidP="005240A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DEAFBD0" w:rsidR="00A209D6" w:rsidRDefault="00A209D6" w:rsidP="005240AE">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14785">
        <w:rPr>
          <w:rFonts w:ascii="Arial" w:hAnsi="Arial" w:cs="Arial"/>
          <w:b/>
          <w:bCs/>
          <w:sz w:val="24"/>
        </w:rPr>
        <w:t xml:space="preserve">Signalling for </w:t>
      </w:r>
      <w:r w:rsidR="00007575">
        <w:rPr>
          <w:rFonts w:ascii="Arial" w:hAnsi="Arial" w:cs="Arial"/>
          <w:b/>
          <w:bCs/>
          <w:sz w:val="24"/>
        </w:rPr>
        <w:t>Support of Propagation Delay Compensation</w:t>
      </w:r>
    </w:p>
    <w:p w14:paraId="1F147C23" w14:textId="0628F95E" w:rsidR="00A209D6" w:rsidRPr="00B266B0" w:rsidRDefault="00A209D6" w:rsidP="005240A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007575" w:rsidRPr="005240AE">
        <w:rPr>
          <w:rFonts w:ascii="Arial" w:hAnsi="Arial" w:cs="Arial"/>
          <w:b/>
          <w:bCs/>
          <w:sz w:val="24"/>
          <w:szCs w:val="24"/>
          <w:lang w:val="en-US"/>
        </w:rPr>
        <w:t xml:space="preserve">NR_IIOT_URLLC_enh </w:t>
      </w:r>
      <w:r w:rsidR="00007575">
        <w:rPr>
          <w:rFonts w:ascii="Arial" w:hAnsi="Arial" w:cs="Arial"/>
          <w:b/>
          <w:bCs/>
          <w:sz w:val="24"/>
        </w:rPr>
        <w:t>–</w:t>
      </w:r>
      <w:r>
        <w:rPr>
          <w:rFonts w:ascii="Arial" w:hAnsi="Arial" w:cs="Arial"/>
          <w:b/>
          <w:bCs/>
          <w:sz w:val="24"/>
        </w:rPr>
        <w:t xml:space="preserve"> Release </w:t>
      </w:r>
      <w:r w:rsidR="00007575">
        <w:rPr>
          <w:rFonts w:ascii="Arial" w:hAnsi="Arial" w:cs="Arial"/>
          <w:b/>
          <w:bCs/>
          <w:sz w:val="24"/>
        </w:rPr>
        <w:t>17</w:t>
      </w:r>
    </w:p>
    <w:p w14:paraId="6FEB19D6" w14:textId="77777777" w:rsidR="00A209D6" w:rsidRPr="00B266B0" w:rsidRDefault="00A209D6" w:rsidP="005240AE">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240AE">
      <w:pPr>
        <w:pStyle w:val="Heading1"/>
        <w:jc w:val="both"/>
      </w:pPr>
      <w:r w:rsidRPr="006E13D1">
        <w:t>1</w:t>
      </w:r>
      <w:r w:rsidRPr="006E13D1">
        <w:tab/>
      </w:r>
      <w:r>
        <w:t>Introduction</w:t>
      </w:r>
    </w:p>
    <w:p w14:paraId="2DCC0CB3" w14:textId="2D6B54A0" w:rsidR="00E7085F" w:rsidRDefault="00E7085F" w:rsidP="005240AE">
      <w:pPr>
        <w:jc w:val="both"/>
      </w:pPr>
      <w:r>
        <w:t>Agreements from RAN2#106e</w:t>
      </w:r>
      <w:r w:rsidR="00DE04D0">
        <w:t xml:space="preserve"> after the discussion summarized in </w:t>
      </w:r>
      <w:hyperlink r:id="rId12" w:history="1">
        <w:r w:rsidR="00DE04D0" w:rsidRPr="00DE04D0">
          <w:rPr>
            <w:rStyle w:val="Hyperlink"/>
          </w:rPr>
          <w:t>R2-2111282</w:t>
        </w:r>
      </w:hyperlink>
      <w:r w:rsidR="00DE04D0">
        <w:t xml:space="preserve"> is found below:</w:t>
      </w:r>
    </w:p>
    <w:tbl>
      <w:tblPr>
        <w:tblStyle w:val="TableGrid"/>
        <w:tblW w:w="0" w:type="auto"/>
        <w:tblLook w:val="04A0" w:firstRow="1" w:lastRow="0" w:firstColumn="1" w:lastColumn="0" w:noHBand="0" w:noVBand="1"/>
      </w:tblPr>
      <w:tblGrid>
        <w:gridCol w:w="9631"/>
      </w:tblGrid>
      <w:tr w:rsidR="00193BB2" w14:paraId="553F826E" w14:textId="77777777" w:rsidTr="00193BB2">
        <w:tc>
          <w:tcPr>
            <w:tcW w:w="9631" w:type="dxa"/>
          </w:tcPr>
          <w:p w14:paraId="0E4E6B1D" w14:textId="77777777" w:rsidR="00E43152" w:rsidRPr="00E43152" w:rsidRDefault="00E43152" w:rsidP="005240AE">
            <w:pPr>
              <w:pStyle w:val="NormalWeb"/>
              <w:tabs>
                <w:tab w:val="left" w:pos="568"/>
              </w:tabs>
              <w:spacing w:before="0" w:beforeAutospacing="0" w:after="120" w:afterAutospacing="0"/>
              <w:jc w:val="both"/>
              <w:rPr>
                <w:sz w:val="20"/>
                <w:szCs w:val="20"/>
              </w:rPr>
            </w:pPr>
            <w:r w:rsidRPr="00E43152">
              <w:rPr>
                <w:rFonts w:ascii="Arial" w:eastAsia="MS Mincho" w:hAnsi="Arial"/>
                <w:b/>
                <w:bCs/>
                <w:color w:val="001135"/>
                <w:kern w:val="24"/>
                <w:sz w:val="20"/>
                <w:szCs w:val="20"/>
                <w:highlight w:val="green"/>
              </w:rPr>
              <w:t>Agreements</w:t>
            </w:r>
          </w:p>
          <w:p w14:paraId="716FE5EA" w14:textId="77777777" w:rsidR="00E43152" w:rsidRPr="00E43152" w:rsidRDefault="00E43152" w:rsidP="005240AE">
            <w:pPr>
              <w:pStyle w:val="ListParagraph"/>
              <w:numPr>
                <w:ilvl w:val="0"/>
                <w:numId w:val="8"/>
              </w:numPr>
              <w:tabs>
                <w:tab w:val="left" w:pos="1622"/>
              </w:tabs>
              <w:jc w:val="both"/>
              <w:rPr>
                <w:sz w:val="20"/>
                <w:szCs w:val="20"/>
              </w:rPr>
            </w:pPr>
            <w:r w:rsidRPr="00E43152">
              <w:rPr>
                <w:rFonts w:ascii="Arial" w:eastAsia="MS Mincho" w:hAnsi="Arial"/>
                <w:color w:val="001135"/>
                <w:kern w:val="24"/>
                <w:sz w:val="20"/>
                <w:szCs w:val="20"/>
              </w:rPr>
              <w:t xml:space="preserve">The gNB can enable/disable UE-side PDC via unicast and broadcast RRC signalling.  </w:t>
            </w:r>
          </w:p>
          <w:p w14:paraId="6CD42C8E" w14:textId="77777777" w:rsidR="00E43152" w:rsidRPr="00E43152" w:rsidRDefault="00E43152" w:rsidP="005240AE">
            <w:pPr>
              <w:pStyle w:val="ListParagraph"/>
              <w:numPr>
                <w:ilvl w:val="0"/>
                <w:numId w:val="8"/>
              </w:numPr>
              <w:tabs>
                <w:tab w:val="left" w:pos="1622"/>
              </w:tabs>
              <w:jc w:val="both"/>
              <w:rPr>
                <w:sz w:val="20"/>
                <w:szCs w:val="20"/>
              </w:rPr>
            </w:pPr>
            <w:r w:rsidRPr="00E43152">
              <w:rPr>
                <w:rFonts w:ascii="Arial" w:eastAsia="MS Mincho" w:hAnsi="Arial"/>
                <w:color w:val="001135"/>
                <w:kern w:val="24"/>
                <w:sz w:val="20"/>
                <w:szCs w:val="20"/>
              </w:rPr>
              <w:t>A new RRC parameter can be introduced to explicitly enable/disable UE-side PDC</w:t>
            </w:r>
          </w:p>
          <w:p w14:paraId="22BE28D1" w14:textId="77777777" w:rsidR="00E43152" w:rsidRPr="00E43152" w:rsidRDefault="00E43152" w:rsidP="005240AE">
            <w:pPr>
              <w:pStyle w:val="ListParagraph"/>
              <w:numPr>
                <w:ilvl w:val="0"/>
                <w:numId w:val="8"/>
              </w:numPr>
              <w:tabs>
                <w:tab w:val="left" w:pos="1622"/>
              </w:tabs>
              <w:jc w:val="both"/>
              <w:rPr>
                <w:sz w:val="20"/>
                <w:szCs w:val="20"/>
              </w:rPr>
            </w:pPr>
            <w:r w:rsidRPr="00E43152">
              <w:rPr>
                <w:rFonts w:ascii="Arial" w:eastAsia="MS Mincho" w:hAnsi="Arial"/>
                <w:color w:val="001135"/>
                <w:kern w:val="24"/>
                <w:sz w:val="20"/>
                <w:szCs w:val="20"/>
              </w:rPr>
              <w:t>When 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14:paraId="6CFA313A" w14:textId="076E98F8" w:rsidR="00193BB2" w:rsidRPr="00E43152" w:rsidRDefault="00E43152" w:rsidP="005240AE">
            <w:pPr>
              <w:pStyle w:val="ListParagraph"/>
              <w:numPr>
                <w:ilvl w:val="0"/>
                <w:numId w:val="8"/>
              </w:numPr>
              <w:tabs>
                <w:tab w:val="left" w:pos="1622"/>
              </w:tabs>
              <w:jc w:val="both"/>
            </w:pPr>
            <w:r w:rsidRPr="00E43152">
              <w:rPr>
                <w:rFonts w:ascii="Arial" w:eastAsia="MS Mincho" w:hAnsi="Arial"/>
                <w:color w:val="001135"/>
                <w:kern w:val="24"/>
                <w:sz w:val="20"/>
                <w:szCs w:val="20"/>
              </w:rPr>
              <w:t>The timing synchronization in I-IoT should focus on the signaling between the UE and gNB, i.e. different from Multi-RTT based signalling flow which involving LMF and AMF</w:t>
            </w:r>
          </w:p>
        </w:tc>
      </w:tr>
    </w:tbl>
    <w:p w14:paraId="6565958A" w14:textId="0526C9DF" w:rsidR="00E7085F" w:rsidRDefault="00E7085F" w:rsidP="005240AE">
      <w:pPr>
        <w:jc w:val="both"/>
      </w:pPr>
    </w:p>
    <w:p w14:paraId="3C1B115B" w14:textId="0B735A36" w:rsidR="00E7085F" w:rsidRDefault="00DE04D0" w:rsidP="005240AE">
      <w:pPr>
        <w:jc w:val="both"/>
      </w:pPr>
      <w:r>
        <w:t>And the incoming LS</w:t>
      </w:r>
      <w:r w:rsidR="00FB5F4E">
        <w:t xml:space="preserve"> </w:t>
      </w:r>
      <w:hyperlink r:id="rId13" w:history="1">
        <w:r w:rsidR="00777250">
          <w:rPr>
            <w:rStyle w:val="Hyperlink"/>
          </w:rPr>
          <w:t>R1-2112834</w:t>
        </w:r>
      </w:hyperlink>
      <w:r w:rsidR="00777250">
        <w:t xml:space="preserve"> on top of the incoming LS </w:t>
      </w:r>
      <w:hyperlink r:id="rId14" w:history="1">
        <w:r w:rsidR="00EC0A5B">
          <w:rPr>
            <w:rStyle w:val="Hyperlink"/>
          </w:rPr>
          <w:t>R1-2110647</w:t>
        </w:r>
      </w:hyperlink>
      <w:r w:rsidR="00EC0A5B">
        <w:t xml:space="preserve"> </w:t>
      </w:r>
      <w:r w:rsidR="00D33E66">
        <w:t>both</w:t>
      </w:r>
      <w:r>
        <w:t xml:space="preserve"> from </w:t>
      </w:r>
      <w:r w:rsidR="00E7085F">
        <w:t>RAN1</w:t>
      </w:r>
      <w:r>
        <w:t xml:space="preserve"> lists the following agreements from RAN1 that RAN2 should take into account when finalizing the PDC framework:</w:t>
      </w:r>
    </w:p>
    <w:tbl>
      <w:tblPr>
        <w:tblStyle w:val="TableGrid"/>
        <w:tblW w:w="0" w:type="auto"/>
        <w:tblLook w:val="04A0" w:firstRow="1" w:lastRow="0" w:firstColumn="1" w:lastColumn="0" w:noHBand="0" w:noVBand="1"/>
      </w:tblPr>
      <w:tblGrid>
        <w:gridCol w:w="9631"/>
      </w:tblGrid>
      <w:tr w:rsidR="00193BB2" w14:paraId="701DEDD8" w14:textId="77777777" w:rsidTr="00193BB2">
        <w:tc>
          <w:tcPr>
            <w:tcW w:w="9631" w:type="dxa"/>
          </w:tcPr>
          <w:p w14:paraId="53A3B085" w14:textId="7D15E8DE" w:rsidR="00DE7FA0" w:rsidRPr="00DE7FA0" w:rsidRDefault="00DE7FA0" w:rsidP="005240AE">
            <w:pPr>
              <w:autoSpaceDN w:val="0"/>
              <w:spacing w:afterLines="20" w:after="48"/>
              <w:jc w:val="both"/>
              <w:rPr>
                <w:rFonts w:eastAsia="Batang"/>
                <w:b/>
                <w:bCs/>
              </w:rPr>
            </w:pPr>
            <w:r w:rsidRPr="00C60992">
              <w:rPr>
                <w:rFonts w:eastAsia="Batang"/>
                <w:b/>
                <w:bCs/>
                <w:u w:val="single"/>
              </w:rPr>
              <w:t>From R1-2110647</w:t>
            </w:r>
            <w:r w:rsidRPr="00DE7FA0">
              <w:rPr>
                <w:rFonts w:eastAsia="Batang"/>
                <w:b/>
                <w:bCs/>
              </w:rPr>
              <w:t xml:space="preserve"> (unsupported PDC methods left out) </w:t>
            </w:r>
          </w:p>
          <w:p w14:paraId="3A578EC3" w14:textId="77777777" w:rsidR="00885F21" w:rsidRDefault="00885F21" w:rsidP="005240AE">
            <w:pPr>
              <w:widowControl w:val="0"/>
              <w:autoSpaceDE w:val="0"/>
              <w:autoSpaceDN w:val="0"/>
              <w:adjustRightInd w:val="0"/>
              <w:snapToGrid w:val="0"/>
              <w:spacing w:after="120" w:line="256" w:lineRule="auto"/>
              <w:jc w:val="both"/>
              <w:rPr>
                <w:highlight w:val="green"/>
                <w:lang w:val="en-US"/>
              </w:rPr>
            </w:pPr>
            <w:bookmarkStart w:id="0" w:name="OLE_LINK11"/>
            <w:r>
              <w:rPr>
                <w:highlight w:val="green"/>
                <w:lang w:val="en-US"/>
              </w:rPr>
              <w:t>Agreements</w:t>
            </w:r>
          </w:p>
          <w:p w14:paraId="4C0CB32B" w14:textId="77777777" w:rsidR="00885F21" w:rsidRDefault="00885F21" w:rsidP="005240AE">
            <w:pPr>
              <w:widowControl w:val="0"/>
              <w:autoSpaceDE w:val="0"/>
              <w:autoSpaceDN w:val="0"/>
              <w:adjustRightInd w:val="0"/>
              <w:snapToGrid w:val="0"/>
              <w:spacing w:after="120" w:line="256" w:lineRule="auto"/>
              <w:jc w:val="both"/>
              <w:rPr>
                <w:lang w:val="en-US"/>
              </w:rPr>
            </w:pPr>
            <w:r>
              <w:rPr>
                <w:lang w:val="en-US"/>
              </w:rPr>
              <w:t xml:space="preserve">The following options for propagation delay compensation are further studied in RAN1  </w:t>
            </w:r>
          </w:p>
          <w:p w14:paraId="1E425AC8" w14:textId="77777777" w:rsidR="00885F21" w:rsidRDefault="00885F21" w:rsidP="005240AE">
            <w:pPr>
              <w:widowControl w:val="0"/>
              <w:numPr>
                <w:ilvl w:val="0"/>
                <w:numId w:val="16"/>
              </w:numPr>
              <w:autoSpaceDE w:val="0"/>
              <w:autoSpaceDN w:val="0"/>
              <w:adjustRightInd w:val="0"/>
              <w:snapToGrid w:val="0"/>
              <w:spacing w:after="0" w:line="256" w:lineRule="auto"/>
              <w:ind w:left="720"/>
              <w:contextualSpacing/>
              <w:jc w:val="both"/>
              <w:rPr>
                <w:lang w:val="en-US"/>
              </w:rPr>
            </w:pPr>
            <w:r>
              <w:rPr>
                <w:b/>
                <w:bCs/>
                <w:lang w:val="en-US"/>
              </w:rPr>
              <w:t>Option 1</w:t>
            </w:r>
            <w:r>
              <w:rPr>
                <w:lang w:val="en-US"/>
              </w:rPr>
              <w:t>: TA-based propagation delay</w:t>
            </w:r>
          </w:p>
          <w:p w14:paraId="72A15C2E" w14:textId="77777777" w:rsidR="00885F21" w:rsidRDefault="00885F21" w:rsidP="005240AE">
            <w:pPr>
              <w:widowControl w:val="0"/>
              <w:numPr>
                <w:ilvl w:val="1"/>
                <w:numId w:val="16"/>
              </w:numPr>
              <w:autoSpaceDE w:val="0"/>
              <w:autoSpaceDN w:val="0"/>
              <w:adjustRightInd w:val="0"/>
              <w:snapToGrid w:val="0"/>
              <w:spacing w:beforeLines="50" w:before="120" w:after="0" w:line="256" w:lineRule="auto"/>
              <w:ind w:left="2154" w:hanging="357"/>
              <w:contextualSpacing/>
              <w:jc w:val="both"/>
              <w:rPr>
                <w:lang w:val="en-US"/>
              </w:rPr>
            </w:pPr>
            <w:r>
              <w:rPr>
                <w:b/>
                <w:bCs/>
                <w:lang w:val="en-US"/>
              </w:rPr>
              <w:t>Option 1a</w:t>
            </w:r>
            <w:r>
              <w:rPr>
                <w:lang w:val="en-US"/>
              </w:rPr>
              <w:t>: Propagation delay estimation based on legacy Timing advance (potentially with enhanced TA indication granularity).</w:t>
            </w:r>
          </w:p>
          <w:p w14:paraId="335A5363" w14:textId="77777777" w:rsidR="00885F21" w:rsidRDefault="00885F21" w:rsidP="005240AE">
            <w:pPr>
              <w:widowControl w:val="0"/>
              <w:numPr>
                <w:ilvl w:val="1"/>
                <w:numId w:val="16"/>
              </w:numPr>
              <w:autoSpaceDE w:val="0"/>
              <w:autoSpaceDN w:val="0"/>
              <w:adjustRightInd w:val="0"/>
              <w:snapToGrid w:val="0"/>
              <w:spacing w:beforeLines="50" w:before="120" w:after="0" w:line="256" w:lineRule="auto"/>
              <w:ind w:left="2160"/>
              <w:contextualSpacing/>
              <w:jc w:val="both"/>
              <w:rPr>
                <w:lang w:val="en-US"/>
              </w:rPr>
            </w:pPr>
            <w:r>
              <w:rPr>
                <w:b/>
                <w:bCs/>
                <w:lang w:val="en-US"/>
              </w:rPr>
              <w:t>Option 1b</w:t>
            </w:r>
            <w:r>
              <w:rPr>
                <w:lang w:val="en-US"/>
              </w:rPr>
              <w:t>: Propagation delay estimation based on timing advanced enhanced for time synchronization (as 1a but with updated RAN4 requirements to TA adjustment error and Te)</w:t>
            </w:r>
          </w:p>
          <w:p w14:paraId="2B3DCE6A" w14:textId="77777777" w:rsidR="00885F21" w:rsidRDefault="00885F21" w:rsidP="005240AE">
            <w:pPr>
              <w:widowControl w:val="0"/>
              <w:numPr>
                <w:ilvl w:val="1"/>
                <w:numId w:val="16"/>
              </w:numPr>
              <w:autoSpaceDE w:val="0"/>
              <w:autoSpaceDN w:val="0"/>
              <w:adjustRightInd w:val="0"/>
              <w:snapToGrid w:val="0"/>
              <w:spacing w:beforeLines="50" w:before="120" w:after="0" w:line="256" w:lineRule="auto"/>
              <w:ind w:left="2160"/>
              <w:contextualSpacing/>
              <w:jc w:val="both"/>
              <w:rPr>
                <w:b/>
                <w:bCs/>
                <w:lang w:val="en-US"/>
              </w:rPr>
            </w:pPr>
            <w:r>
              <w:rPr>
                <w:b/>
                <w:bCs/>
                <w:lang w:val="en-US"/>
              </w:rPr>
              <w:t xml:space="preserve">Option 1c: </w:t>
            </w:r>
            <w:r>
              <w:rPr>
                <w:lang w:val="en-US"/>
              </w:rPr>
              <w:t>Propagation delay estimation based on a new dedicated signaling with finer delay compensation granularity (Separated signaling from TA so that TA procedure is not affected)</w:t>
            </w:r>
          </w:p>
          <w:p w14:paraId="7D247CFD" w14:textId="77777777" w:rsidR="00885F21" w:rsidRDefault="00885F21" w:rsidP="005240AE">
            <w:pPr>
              <w:widowControl w:val="0"/>
              <w:numPr>
                <w:ilvl w:val="0"/>
                <w:numId w:val="16"/>
              </w:numPr>
              <w:autoSpaceDE w:val="0"/>
              <w:autoSpaceDN w:val="0"/>
              <w:adjustRightInd w:val="0"/>
              <w:snapToGrid w:val="0"/>
              <w:spacing w:after="0" w:line="256" w:lineRule="auto"/>
              <w:ind w:left="714" w:hanging="357"/>
              <w:contextualSpacing/>
              <w:jc w:val="both"/>
              <w:rPr>
                <w:lang w:val="en-US"/>
              </w:rPr>
            </w:pPr>
            <w:r>
              <w:rPr>
                <w:b/>
                <w:bCs/>
                <w:lang w:val="en-US"/>
              </w:rPr>
              <w:t>Option 2</w:t>
            </w:r>
            <w:r>
              <w:rPr>
                <w:lang w:val="en-US"/>
              </w:rPr>
              <w:t>: RTT based delay compensation:</w:t>
            </w:r>
          </w:p>
          <w:p w14:paraId="409A46FD" w14:textId="2934201F" w:rsidR="00885F21" w:rsidRPr="00885F21" w:rsidRDefault="00885F21" w:rsidP="005240AE">
            <w:pPr>
              <w:widowControl w:val="0"/>
              <w:numPr>
                <w:ilvl w:val="1"/>
                <w:numId w:val="16"/>
              </w:numPr>
              <w:autoSpaceDE w:val="0"/>
              <w:autoSpaceDN w:val="0"/>
              <w:adjustRightInd w:val="0"/>
              <w:snapToGrid w:val="0"/>
              <w:spacing w:beforeLines="50" w:before="120" w:after="0" w:line="256" w:lineRule="auto"/>
              <w:ind w:left="2160"/>
              <w:contextualSpacing/>
              <w:jc w:val="both"/>
              <w:rPr>
                <w:lang w:val="en-US"/>
              </w:rPr>
            </w:pPr>
            <w:r>
              <w:rPr>
                <w:lang w:val="en-US"/>
              </w:rPr>
              <w:t xml:space="preserve">Propagation delay estimation based on an RAN managed Rx-Tx procedure intended for time synchronization (FFS to expand or separate procedure/signaling to positioning). </w:t>
            </w:r>
          </w:p>
          <w:p w14:paraId="79A2357E" w14:textId="77777777" w:rsidR="00885F21" w:rsidRDefault="00885F21" w:rsidP="005240AE">
            <w:pPr>
              <w:widowControl w:val="0"/>
              <w:autoSpaceDE w:val="0"/>
              <w:autoSpaceDN w:val="0"/>
              <w:adjustRightInd w:val="0"/>
              <w:snapToGrid w:val="0"/>
              <w:spacing w:after="120" w:line="256" w:lineRule="auto"/>
              <w:jc w:val="both"/>
              <w:rPr>
                <w:lang w:val="en-US"/>
              </w:rPr>
            </w:pPr>
            <w:r>
              <w:rPr>
                <w:highlight w:val="green"/>
                <w:lang w:val="en-US"/>
              </w:rPr>
              <w:t>Agreements</w:t>
            </w:r>
          </w:p>
          <w:p w14:paraId="7CE90B27" w14:textId="691C3FB5" w:rsidR="00885F21" w:rsidRPr="00885F21" w:rsidRDefault="00885F21" w:rsidP="005240AE">
            <w:pPr>
              <w:widowControl w:val="0"/>
              <w:autoSpaceDE w:val="0"/>
              <w:autoSpaceDN w:val="0"/>
              <w:adjustRightInd w:val="0"/>
              <w:spacing w:afterLines="100" w:after="240"/>
              <w:jc w:val="both"/>
            </w:pPr>
            <w:r>
              <w:rPr>
                <w:color w:val="000000"/>
                <w:lang w:val="en-US"/>
              </w:rPr>
              <w:t>Both 15 kHz and 30 kHz are assumed for both control-to-control and smart grid for evaluation of the time synchronization.  </w:t>
            </w:r>
          </w:p>
          <w:p w14:paraId="135DDE7E" w14:textId="77777777" w:rsidR="00885F21" w:rsidRDefault="00885F21" w:rsidP="005240AE">
            <w:pPr>
              <w:autoSpaceDE w:val="0"/>
              <w:autoSpaceDN w:val="0"/>
              <w:snapToGrid w:val="0"/>
              <w:spacing w:after="120" w:line="252" w:lineRule="auto"/>
              <w:jc w:val="both"/>
              <w:rPr>
                <w:rFonts w:eastAsia="Batang"/>
                <w:b/>
                <w:bCs/>
                <w:u w:val="single"/>
                <w:lang w:eastAsia="zh-CN"/>
              </w:rPr>
            </w:pPr>
            <w:r>
              <w:rPr>
                <w:rFonts w:eastAsia="Batang"/>
                <w:b/>
                <w:bCs/>
                <w:u w:val="single"/>
                <w:lang w:eastAsia="zh-CN"/>
              </w:rPr>
              <w:t>Conclusion:</w:t>
            </w:r>
          </w:p>
          <w:p w14:paraId="027BE1F7" w14:textId="132D3D0D" w:rsidR="00DE7FA0" w:rsidRDefault="00885F21" w:rsidP="005240AE">
            <w:pPr>
              <w:widowControl w:val="0"/>
              <w:autoSpaceDE w:val="0"/>
              <w:autoSpaceDN w:val="0"/>
              <w:adjustRightInd w:val="0"/>
              <w:snapToGrid w:val="0"/>
              <w:spacing w:after="120" w:line="259" w:lineRule="auto"/>
              <w:jc w:val="both"/>
              <w:rPr>
                <w:rFonts w:eastAsia="SimSun"/>
                <w:highlight w:val="green"/>
                <w:lang w:val="en-US"/>
              </w:rPr>
            </w:pPr>
            <w:r>
              <w:rPr>
                <w:rFonts w:eastAsia="Batang"/>
                <w:szCs w:val="24"/>
              </w:rPr>
              <w:t>Leave it to RAN2 to decide whether to support UE based compensation and/or gNB based compensation for any propagation delay compensation method RAN1 may adopt for Rel-17, if applicable.</w:t>
            </w:r>
          </w:p>
          <w:p w14:paraId="107BD716" w14:textId="77777777" w:rsidR="009F23BF" w:rsidRDefault="009F23BF" w:rsidP="005240AE">
            <w:pPr>
              <w:widowControl w:val="0"/>
              <w:autoSpaceDE w:val="0"/>
              <w:autoSpaceDN w:val="0"/>
              <w:adjustRightInd w:val="0"/>
              <w:snapToGrid w:val="0"/>
              <w:spacing w:after="120" w:line="259" w:lineRule="auto"/>
              <w:jc w:val="both"/>
              <w:rPr>
                <w:rFonts w:eastAsia="SimSun"/>
                <w:highlight w:val="green"/>
                <w:lang w:val="en-US"/>
              </w:rPr>
            </w:pPr>
          </w:p>
          <w:p w14:paraId="39C93992" w14:textId="77777777" w:rsidR="00DE690A" w:rsidRDefault="00DE690A" w:rsidP="005240AE">
            <w:pPr>
              <w:widowControl w:val="0"/>
              <w:autoSpaceDE w:val="0"/>
              <w:autoSpaceDN w:val="0"/>
              <w:adjustRightInd w:val="0"/>
              <w:snapToGrid w:val="0"/>
              <w:spacing w:after="120" w:line="256" w:lineRule="auto"/>
              <w:jc w:val="both"/>
              <w:rPr>
                <w:highlight w:val="green"/>
                <w:lang w:val="en-US"/>
              </w:rPr>
            </w:pPr>
            <w:bookmarkStart w:id="1" w:name="OLE_LINK44"/>
            <w:r>
              <w:rPr>
                <w:highlight w:val="green"/>
                <w:lang w:val="en-US"/>
              </w:rPr>
              <w:lastRenderedPageBreak/>
              <w:t>Agreements</w:t>
            </w:r>
          </w:p>
          <w:p w14:paraId="77B257D3" w14:textId="77777777" w:rsidR="00DE690A" w:rsidRDefault="00DE690A" w:rsidP="005240AE">
            <w:pPr>
              <w:numPr>
                <w:ilvl w:val="0"/>
                <w:numId w:val="14"/>
              </w:numPr>
              <w:autoSpaceDE w:val="0"/>
              <w:autoSpaceDN w:val="0"/>
              <w:adjustRightInd w:val="0"/>
              <w:snapToGrid w:val="0"/>
              <w:spacing w:after="120" w:line="256" w:lineRule="auto"/>
              <w:jc w:val="both"/>
              <w:rPr>
                <w:rFonts w:eastAsia="Batang"/>
                <w:szCs w:val="24"/>
              </w:rPr>
            </w:pPr>
            <w:r>
              <w:rPr>
                <w:rFonts w:eastAsia="Batang"/>
                <w:szCs w:val="24"/>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0FE025ED" w14:textId="77777777" w:rsidR="00DE690A" w:rsidRDefault="00DE690A" w:rsidP="005240AE">
            <w:pPr>
              <w:numPr>
                <w:ilvl w:val="0"/>
                <w:numId w:val="14"/>
              </w:numPr>
              <w:autoSpaceDE w:val="0"/>
              <w:autoSpaceDN w:val="0"/>
              <w:adjustRightInd w:val="0"/>
              <w:snapToGrid w:val="0"/>
              <w:spacing w:after="120" w:line="256" w:lineRule="auto"/>
              <w:jc w:val="both"/>
              <w:rPr>
                <w:rFonts w:eastAsia="Batang"/>
                <w:szCs w:val="24"/>
              </w:rPr>
            </w:pPr>
            <w:r>
              <w:rPr>
                <w:rFonts w:eastAsia="Batang"/>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bookmarkEnd w:id="1"/>
          <w:p w14:paraId="251BBAB5" w14:textId="77777777" w:rsidR="00DE690A" w:rsidRDefault="00DE690A" w:rsidP="005240AE">
            <w:pPr>
              <w:widowControl w:val="0"/>
              <w:autoSpaceDE w:val="0"/>
              <w:autoSpaceDN w:val="0"/>
              <w:adjustRightInd w:val="0"/>
              <w:spacing w:afterLines="50" w:after="120" w:line="252" w:lineRule="auto"/>
              <w:jc w:val="both"/>
              <w:rPr>
                <w:rFonts w:eastAsia="SimSun"/>
                <w:highlight w:val="darkYellow"/>
                <w:lang w:eastAsia="zh-CN"/>
              </w:rPr>
            </w:pPr>
          </w:p>
          <w:p w14:paraId="33D681C7" w14:textId="77777777" w:rsidR="00DE690A" w:rsidRDefault="00DE690A" w:rsidP="005240AE">
            <w:pPr>
              <w:widowControl w:val="0"/>
              <w:autoSpaceDE w:val="0"/>
              <w:autoSpaceDN w:val="0"/>
              <w:adjustRightInd w:val="0"/>
              <w:snapToGrid w:val="0"/>
              <w:spacing w:after="120" w:line="256" w:lineRule="auto"/>
              <w:jc w:val="both"/>
              <w:rPr>
                <w:rFonts w:eastAsia="Batang"/>
                <w:szCs w:val="24"/>
                <w:highlight w:val="green"/>
              </w:rPr>
            </w:pPr>
            <w:r>
              <w:rPr>
                <w:highlight w:val="green"/>
                <w:lang w:val="en-US"/>
              </w:rPr>
              <w:t xml:space="preserve">Agreement </w:t>
            </w:r>
            <w:r>
              <w:rPr>
                <w:rFonts w:eastAsia="Batang"/>
                <w:szCs w:val="24"/>
              </w:rPr>
              <w:t>(Note: Working assumption from RAN1#104b-e and agreements from RAN1#106b-e are merged)</w:t>
            </w:r>
          </w:p>
          <w:p w14:paraId="473D88D5" w14:textId="77777777" w:rsidR="00DE690A" w:rsidRDefault="00DE690A" w:rsidP="005240AE">
            <w:pPr>
              <w:jc w:val="both"/>
              <w:rPr>
                <w:rFonts w:eastAsia="Batang"/>
                <w:lang w:eastAsia="zh-CN"/>
              </w:rPr>
            </w:pPr>
            <w:r>
              <w:rPr>
                <w:rFonts w:eastAsia="Batang"/>
                <w:lang w:eastAsia="zh-CN"/>
              </w:rPr>
              <w:t>For evaluation of the overall time synchronization error for TA-based propagation delay compensation,</w:t>
            </w:r>
          </w:p>
          <w:p w14:paraId="1EB72F8B" w14:textId="77777777" w:rsidR="00DE690A" w:rsidRDefault="00DE690A" w:rsidP="005240AE">
            <w:pPr>
              <w:numPr>
                <w:ilvl w:val="0"/>
                <w:numId w:val="15"/>
              </w:numPr>
              <w:overflowPunct w:val="0"/>
              <w:autoSpaceDE w:val="0"/>
              <w:autoSpaceDN w:val="0"/>
              <w:adjustRightInd w:val="0"/>
              <w:spacing w:after="0"/>
              <w:jc w:val="both"/>
              <w:textAlignment w:val="baseline"/>
              <w:rPr>
                <w:rFonts w:eastAsia="Batang"/>
                <w:iCs/>
                <w:szCs w:val="24"/>
                <w:lang w:eastAsia="zh-CN"/>
              </w:rPr>
            </w:pPr>
            <w:r>
              <w:rPr>
                <w:rFonts w:eastAsia="Batang"/>
                <w:iCs/>
                <w:szCs w:val="24"/>
                <w:lang w:eastAsia="zh-CN"/>
              </w:rPr>
              <w:t>Alt.1 for TA-based PDC</w:t>
            </w:r>
          </w:p>
          <w:p w14:paraId="74A7AB01" w14:textId="77777777" w:rsidR="00DE690A" w:rsidRDefault="00DE690A" w:rsidP="005240AE">
            <w:pPr>
              <w:widowControl w:val="0"/>
              <w:autoSpaceDE w:val="0"/>
              <w:autoSpaceDN w:val="0"/>
              <w:adjustRightInd w:val="0"/>
              <w:spacing w:beforeLines="50" w:before="120" w:afterLines="50" w:after="120" w:line="252" w:lineRule="auto"/>
              <w:jc w:val="both"/>
              <w:rPr>
                <w:rFonts w:ascii="Times" w:eastAsia="SimSun" w:hAnsi="Times" w:cs="Times"/>
                <w:lang w:eastAsia="zh-CN"/>
              </w:rPr>
            </w:pPr>
            <w:r>
              <w:rPr>
                <w:rFonts w:eastAsia="SimSun"/>
              </w:rPr>
              <w:object w:dxaOrig="6420" w:dyaOrig="735" w14:anchorId="40207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37pt" o:ole="">
                  <v:imagedata r:id="rId15" o:title=""/>
                </v:shape>
                <o:OLEObject Type="Embed" ProgID="PBrush" ShapeID="_x0000_i1025" DrawAspect="Content" ObjectID="_1703070550" r:id="rId16"/>
              </w:object>
            </w:r>
          </w:p>
          <w:p w14:paraId="7A845166" w14:textId="77777777" w:rsidR="00D259A0" w:rsidRDefault="00D259A0" w:rsidP="005240AE">
            <w:pPr>
              <w:widowControl w:val="0"/>
              <w:autoSpaceDE w:val="0"/>
              <w:autoSpaceDN w:val="0"/>
              <w:adjustRightInd w:val="0"/>
              <w:snapToGrid w:val="0"/>
              <w:spacing w:after="120" w:line="259" w:lineRule="auto"/>
              <w:jc w:val="both"/>
              <w:rPr>
                <w:rFonts w:eastAsia="SimSun"/>
                <w:highlight w:val="green"/>
                <w:lang w:val="en-US"/>
              </w:rPr>
            </w:pPr>
          </w:p>
          <w:p w14:paraId="0A79B3E3" w14:textId="2217B4B2"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 xml:space="preserve">Agreement </w:t>
            </w:r>
            <w:r w:rsidRPr="00DE7FA0">
              <w:rPr>
                <w:rFonts w:eastAsia="Batang"/>
                <w:szCs w:val="24"/>
              </w:rPr>
              <w:t>(Note: Agreements from RAN1#106-e and RAN1#106b-e are merged)</w:t>
            </w:r>
          </w:p>
          <w:p w14:paraId="79F6CC59" w14:textId="77777777" w:rsidR="00DE7FA0" w:rsidRPr="00DE7FA0" w:rsidRDefault="00DE7FA0" w:rsidP="005240AE">
            <w:pPr>
              <w:spacing w:after="0"/>
              <w:jc w:val="both"/>
              <w:rPr>
                <w:rFonts w:ascii="Times" w:eastAsia="Batang" w:hAnsi="Times" w:cs="Times"/>
                <w:lang w:eastAsia="zh-CN"/>
              </w:rPr>
            </w:pPr>
            <w:r w:rsidRPr="00DE7FA0">
              <w:rPr>
                <w:rFonts w:ascii="Times" w:eastAsia="Batang" w:hAnsi="Times" w:cs="Times"/>
                <w:lang w:eastAsia="zh-CN"/>
              </w:rPr>
              <w:t>For evaluation of the overall time synchronization error for RTT-based propagation delay compensation,</w:t>
            </w:r>
          </w:p>
          <w:bookmarkEnd w:id="0"/>
          <w:p w14:paraId="0C0A7E14" w14:textId="77777777" w:rsidR="00DE7FA0" w:rsidRPr="00DE7FA0" w:rsidRDefault="00DE7FA0" w:rsidP="005240AE">
            <w:pPr>
              <w:numPr>
                <w:ilvl w:val="0"/>
                <w:numId w:val="13"/>
              </w:numPr>
              <w:overflowPunct w:val="0"/>
              <w:autoSpaceDE w:val="0"/>
              <w:autoSpaceDN w:val="0"/>
              <w:adjustRightInd w:val="0"/>
              <w:spacing w:afterLines="50" w:after="120"/>
              <w:ind w:left="714" w:hanging="357"/>
              <w:contextualSpacing/>
              <w:jc w:val="both"/>
              <w:textAlignment w:val="baseline"/>
              <w:rPr>
                <w:rFonts w:ascii="Times" w:eastAsia="Batang" w:hAnsi="Times"/>
                <w:iCs/>
                <w:szCs w:val="24"/>
                <w:lang w:eastAsia="zh-CN"/>
              </w:rPr>
            </w:pPr>
            <w:r w:rsidRPr="00DE7FA0">
              <w:rPr>
                <w:rFonts w:ascii="Times" w:eastAsia="Batang" w:hAnsi="Times"/>
                <w:iCs/>
                <w:szCs w:val="24"/>
                <w:lang w:eastAsia="zh-CN"/>
              </w:rPr>
              <w:t>Alt.1 for RTT-based PDC</w:t>
            </w:r>
          </w:p>
          <w:p w14:paraId="09936F9B" w14:textId="7EBF71DA" w:rsidR="00DE7FA0" w:rsidRPr="00DE7FA0" w:rsidRDefault="00DE7FA0" w:rsidP="005240AE">
            <w:pPr>
              <w:autoSpaceDE w:val="0"/>
              <w:autoSpaceDN w:val="0"/>
              <w:adjustRightInd w:val="0"/>
              <w:snapToGrid w:val="0"/>
              <w:spacing w:after="120" w:line="259" w:lineRule="auto"/>
              <w:jc w:val="both"/>
              <w:rPr>
                <w:rFonts w:eastAsia="SimSun"/>
                <w:lang w:val="en-US" w:eastAsia="zh-CN"/>
              </w:rPr>
            </w:pPr>
            <w:r w:rsidRPr="00DE7FA0">
              <w:rPr>
                <w:rFonts w:eastAsia="SimSun"/>
                <w:noProof/>
                <w:lang w:val="en-US" w:eastAsia="zh-CN"/>
              </w:rPr>
              <w:drawing>
                <wp:inline distT="0" distB="0" distL="0" distR="0" wp14:anchorId="16441A2F" wp14:editId="628E0E17">
                  <wp:extent cx="5090160" cy="560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90160" cy="560070"/>
                          </a:xfrm>
                          <a:prstGeom prst="rect">
                            <a:avLst/>
                          </a:prstGeom>
                          <a:noFill/>
                          <a:ln>
                            <a:noFill/>
                          </a:ln>
                        </pic:spPr>
                      </pic:pic>
                    </a:graphicData>
                  </a:graphic>
                </wp:inline>
              </w:drawing>
            </w:r>
          </w:p>
          <w:p w14:paraId="782D3278" w14:textId="77777777" w:rsidR="00DE7FA0" w:rsidRPr="00DE7FA0" w:rsidRDefault="00DE7FA0" w:rsidP="005240AE">
            <w:pPr>
              <w:autoSpaceDE w:val="0"/>
              <w:autoSpaceDN w:val="0"/>
              <w:adjustRightInd w:val="0"/>
              <w:snapToGrid w:val="0"/>
              <w:spacing w:after="120" w:line="259" w:lineRule="auto"/>
              <w:ind w:left="785"/>
              <w:jc w:val="both"/>
              <w:rPr>
                <w:rFonts w:eastAsia="SimSun"/>
                <w:b/>
                <w:bCs/>
                <w:color w:val="000000"/>
                <w:lang w:val="en-US" w:eastAsia="zh-CN"/>
              </w:rPr>
            </w:pPr>
            <w:r w:rsidRPr="00DE7FA0">
              <w:rPr>
                <w:rFonts w:eastAsia="SimSun"/>
              </w:rPr>
              <w:object w:dxaOrig="12075" w:dyaOrig="2565" w14:anchorId="4DAD3FE9">
                <v:shape id="_x0000_i1026" type="#_x0000_t75" style="width:368.5pt;height:78.5pt" o:ole="">
                  <v:imagedata r:id="rId18" o:title=""/>
                </v:shape>
                <o:OLEObject Type="Embed" ProgID="PBrush" ShapeID="_x0000_i1026" DrawAspect="Content" ObjectID="_1703070551" r:id="rId19"/>
              </w:object>
            </w:r>
          </w:p>
          <w:p w14:paraId="78F62964" w14:textId="77777777" w:rsidR="00DE7FA0" w:rsidRPr="00DE7FA0" w:rsidRDefault="00DE7FA0" w:rsidP="005240AE">
            <w:pPr>
              <w:autoSpaceDE w:val="0"/>
              <w:autoSpaceDN w:val="0"/>
              <w:adjustRightInd w:val="0"/>
              <w:snapToGrid w:val="0"/>
              <w:spacing w:after="0" w:line="259" w:lineRule="auto"/>
              <w:jc w:val="both"/>
              <w:rPr>
                <w:rFonts w:eastAsia="SimSun"/>
                <w:b/>
                <w:bCs/>
                <w:color w:val="000000"/>
                <w:lang w:val="en-US" w:eastAsia="zh-CN"/>
              </w:rPr>
            </w:pPr>
          </w:p>
          <w:p w14:paraId="169ECEA7"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656A90BE" w14:textId="77777777" w:rsidR="00DE7FA0" w:rsidRPr="00DE7FA0" w:rsidRDefault="00DE7FA0" w:rsidP="005240AE">
            <w:pPr>
              <w:spacing w:after="0"/>
              <w:jc w:val="both"/>
              <w:rPr>
                <w:rFonts w:ascii="Times" w:eastAsia="Batang" w:hAnsi="Times" w:cs="Times"/>
                <w:lang w:eastAsia="zh-CN"/>
              </w:rPr>
            </w:pPr>
            <w:r w:rsidRPr="00DE7FA0">
              <w:rPr>
                <w:rFonts w:ascii="Times" w:eastAsia="Batang" w:hAnsi="Times" w:cs="Times"/>
                <w:lang w:eastAsia="zh-CN"/>
              </w:rPr>
              <w:t xml:space="preserve">For evaluation of the overall time synchronization error for RTT-based propagation delay compensation with Alt.1, it is assumed that </w:t>
            </w:r>
          </w:p>
          <w:p w14:paraId="443FAC14" w14:textId="77777777" w:rsidR="00DE7FA0" w:rsidRPr="00DE7FA0" w:rsidRDefault="00DE7FA0" w:rsidP="005240AE">
            <w:pPr>
              <w:numPr>
                <w:ilvl w:val="0"/>
                <w:numId w:val="13"/>
              </w:numPr>
              <w:overflowPunct w:val="0"/>
              <w:autoSpaceDE w:val="0"/>
              <w:autoSpaceDN w:val="0"/>
              <w:adjustRightInd w:val="0"/>
              <w:spacing w:after="0"/>
              <w:contextualSpacing/>
              <w:jc w:val="both"/>
              <w:textAlignment w:val="baseline"/>
              <w:rPr>
                <w:rFonts w:ascii="Times" w:eastAsia="Batang" w:hAnsi="Times"/>
                <w:iCs/>
                <w:szCs w:val="24"/>
                <w:lang w:eastAsia="zh-CN"/>
              </w:rPr>
            </w:pPr>
            <w:r w:rsidRPr="00DE7FA0">
              <w:rPr>
                <w:rFonts w:ascii="Times" w:eastAsia="Batang" w:hAnsi="Times"/>
                <w:iCs/>
                <w:szCs w:val="24"/>
                <w:lang w:eastAsia="zh-CN"/>
              </w:rPr>
              <w:t xml:space="preserve">The UE Rx-Tx time difference measurement accuracy based on PRS defined in Table 10.1.25.2-2 in TS 38.133 </w:t>
            </w:r>
            <w:bookmarkStart w:id="2" w:name="OLE_LINK3"/>
            <w:r w:rsidRPr="00DE7FA0">
              <w:rPr>
                <w:rFonts w:ascii="Times" w:eastAsia="Batang" w:hAnsi="Times"/>
                <w:iCs/>
                <w:szCs w:val="24"/>
                <w:lang w:eastAsia="zh-CN"/>
              </w:rPr>
              <w:t>v17.3.0</w:t>
            </w:r>
            <w:bookmarkEnd w:id="2"/>
            <w:r w:rsidRPr="00DE7FA0">
              <w:rPr>
                <w:rFonts w:ascii="Times" w:eastAsia="Batang" w:hAnsi="Times"/>
                <w:iCs/>
                <w:szCs w:val="24"/>
                <w:lang w:eastAsia="zh-CN"/>
              </w:rPr>
              <w:t xml:space="preserve"> is taken as the reference for the UE Rx-Tx time difference measurement accuracy </w:t>
            </w:r>
          </w:p>
          <w:p w14:paraId="59B95A0C" w14:textId="77777777" w:rsidR="00DE7FA0" w:rsidRPr="00DE7FA0" w:rsidRDefault="00DE7FA0" w:rsidP="005240AE">
            <w:pPr>
              <w:numPr>
                <w:ilvl w:val="0"/>
                <w:numId w:val="13"/>
              </w:numPr>
              <w:overflowPunct w:val="0"/>
              <w:autoSpaceDE w:val="0"/>
              <w:autoSpaceDN w:val="0"/>
              <w:adjustRightInd w:val="0"/>
              <w:spacing w:after="0"/>
              <w:contextualSpacing/>
              <w:jc w:val="both"/>
              <w:textAlignment w:val="baseline"/>
              <w:rPr>
                <w:rFonts w:ascii="Times" w:eastAsia="Batang" w:hAnsi="Times"/>
                <w:iCs/>
                <w:szCs w:val="24"/>
                <w:lang w:eastAsia="zh-CN"/>
              </w:rPr>
            </w:pPr>
            <w:r w:rsidRPr="00DE7FA0">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36C075F2" w14:textId="77777777" w:rsidR="00DE7FA0" w:rsidRPr="00DE7FA0" w:rsidRDefault="00DE7FA0" w:rsidP="005240AE">
            <w:pPr>
              <w:spacing w:afterLines="50" w:after="120" w:line="252" w:lineRule="auto"/>
              <w:contextualSpacing/>
              <w:jc w:val="both"/>
              <w:rPr>
                <w:rFonts w:eastAsia="SimSun"/>
                <w:b/>
                <w:highlight w:val="green"/>
                <w:lang w:eastAsia="zh-CN"/>
              </w:rPr>
            </w:pPr>
          </w:p>
          <w:p w14:paraId="10799ADC"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2436AA83" w14:textId="77777777" w:rsidR="00DE7FA0" w:rsidRPr="00DE7FA0" w:rsidRDefault="00DE7FA0" w:rsidP="005240AE">
            <w:pPr>
              <w:spacing w:after="0" w:line="252" w:lineRule="auto"/>
              <w:contextualSpacing/>
              <w:jc w:val="both"/>
              <w:rPr>
                <w:rFonts w:eastAsia="SimSun"/>
                <w:bCs/>
                <w:lang w:eastAsia="zh-CN"/>
              </w:rPr>
            </w:pPr>
            <w:r w:rsidRPr="00DE7FA0">
              <w:rPr>
                <w:rFonts w:eastAsia="SimSun"/>
                <w:bCs/>
                <w:lang w:eastAsia="zh-CN"/>
              </w:rPr>
              <w:t>SRS can be used for Rx – Tx time difference estimation at gNB side for RTT-based propagation delay compensation, if RTT-based propagation delay compensation is supported.</w:t>
            </w:r>
          </w:p>
          <w:p w14:paraId="60382D18" w14:textId="77777777" w:rsidR="00DE7FA0" w:rsidRPr="00DE7FA0" w:rsidRDefault="00DE7FA0" w:rsidP="005240AE">
            <w:pPr>
              <w:spacing w:afterLines="50" w:after="120" w:line="252" w:lineRule="auto"/>
              <w:contextualSpacing/>
              <w:jc w:val="both"/>
              <w:rPr>
                <w:rFonts w:eastAsia="SimSun"/>
                <w:b/>
                <w:highlight w:val="green"/>
                <w:lang w:eastAsia="zh-CN"/>
              </w:rPr>
            </w:pPr>
          </w:p>
          <w:p w14:paraId="6626D2D3"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7A72D213" w14:textId="77777777" w:rsidR="00DE7FA0" w:rsidRPr="00DE7FA0" w:rsidRDefault="00DE7FA0" w:rsidP="005240AE">
            <w:pPr>
              <w:spacing w:after="0" w:line="252" w:lineRule="auto"/>
              <w:contextualSpacing/>
              <w:jc w:val="both"/>
              <w:rPr>
                <w:rFonts w:eastAsia="SimSun"/>
                <w:bCs/>
                <w:lang w:eastAsia="zh-CN"/>
              </w:rPr>
            </w:pPr>
            <w:r w:rsidRPr="00DE7FA0">
              <w:rPr>
                <w:rFonts w:eastAsia="SimSun"/>
                <w:bCs/>
                <w:lang w:eastAsia="zh-CN"/>
              </w:rPr>
              <w:t xml:space="preserve">If RTT-based propagation delay compensation is supported, </w:t>
            </w:r>
          </w:p>
          <w:p w14:paraId="21F2128C" w14:textId="77777777" w:rsidR="00DE7FA0" w:rsidRPr="00DE7FA0" w:rsidRDefault="00DE7FA0" w:rsidP="005240AE">
            <w:pPr>
              <w:numPr>
                <w:ilvl w:val="0"/>
                <w:numId w:val="12"/>
              </w:numPr>
              <w:spacing w:after="0" w:line="252" w:lineRule="auto"/>
              <w:contextualSpacing/>
              <w:jc w:val="both"/>
              <w:rPr>
                <w:rFonts w:eastAsia="SimSun"/>
                <w:bCs/>
                <w:lang w:eastAsia="zh-CN"/>
              </w:rPr>
            </w:pPr>
            <w:r w:rsidRPr="00DE7FA0">
              <w:rPr>
                <w:rFonts w:eastAsia="SimSun"/>
                <w:bCs/>
                <w:lang w:eastAsia="zh-CN"/>
              </w:rPr>
              <w:t>CSI-RS for tracking (TRS) can be used for Rx – Tx time difference estimation at UE side, if PRS is not configured for the UE.</w:t>
            </w:r>
          </w:p>
          <w:p w14:paraId="5EBE5136" w14:textId="77777777" w:rsidR="00DE7FA0" w:rsidRPr="00DE7FA0" w:rsidRDefault="00DE7FA0" w:rsidP="005240AE">
            <w:pPr>
              <w:numPr>
                <w:ilvl w:val="0"/>
                <w:numId w:val="12"/>
              </w:numPr>
              <w:spacing w:after="0" w:line="252" w:lineRule="auto"/>
              <w:contextualSpacing/>
              <w:jc w:val="both"/>
              <w:rPr>
                <w:rFonts w:eastAsia="SimSun"/>
                <w:bCs/>
                <w:lang w:eastAsia="zh-CN"/>
              </w:rPr>
            </w:pPr>
            <w:r w:rsidRPr="00DE7FA0">
              <w:rPr>
                <w:rFonts w:eastAsia="SimSun"/>
                <w:bCs/>
                <w:lang w:eastAsia="zh-CN"/>
              </w:rPr>
              <w:t xml:space="preserve">PRS can be used for Rx – Tx time difference estimation at UE side, if PRS is configured for the UE.  </w:t>
            </w:r>
          </w:p>
          <w:p w14:paraId="463E61FA" w14:textId="77777777" w:rsidR="00DE7FA0" w:rsidRPr="00DE7FA0" w:rsidRDefault="00DE7FA0" w:rsidP="005240AE">
            <w:pPr>
              <w:widowControl w:val="0"/>
              <w:autoSpaceDE w:val="0"/>
              <w:autoSpaceDN w:val="0"/>
              <w:adjustRightInd w:val="0"/>
              <w:snapToGrid w:val="0"/>
              <w:spacing w:after="120" w:line="259" w:lineRule="auto"/>
              <w:contextualSpacing/>
              <w:jc w:val="both"/>
              <w:rPr>
                <w:rFonts w:eastAsia="SimSun"/>
                <w:lang w:val="x-none"/>
              </w:rPr>
            </w:pPr>
          </w:p>
          <w:p w14:paraId="62419A18"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09C1889A" w14:textId="77777777" w:rsidR="00DE7FA0" w:rsidRPr="00DE7FA0" w:rsidRDefault="00DE7FA0" w:rsidP="005240AE">
            <w:pPr>
              <w:autoSpaceDE w:val="0"/>
              <w:autoSpaceDN w:val="0"/>
              <w:adjustRightInd w:val="0"/>
              <w:snapToGrid w:val="0"/>
              <w:spacing w:after="120" w:line="259" w:lineRule="auto"/>
              <w:jc w:val="both"/>
              <w:rPr>
                <w:rFonts w:eastAsia="SimSun"/>
                <w:bCs/>
                <w:lang w:val="en-US" w:eastAsia="zh-CN"/>
              </w:rPr>
            </w:pPr>
            <w:r w:rsidRPr="00DE7FA0">
              <w:rPr>
                <w:rFonts w:eastAsia="SimSun"/>
                <w:bCs/>
                <w:lang w:val="en-US" w:eastAsia="zh-CN"/>
              </w:rPr>
              <w:lastRenderedPageBreak/>
              <w:t xml:space="preserve">Support the following configurations for RTT-based propagation delay compensation, if RTT-based propagation delay compensation is supported.  </w:t>
            </w:r>
          </w:p>
          <w:p w14:paraId="60A2356A" w14:textId="77777777" w:rsidR="00DE7FA0" w:rsidRPr="00DE7FA0" w:rsidRDefault="00DE7FA0" w:rsidP="005240AE">
            <w:pPr>
              <w:numPr>
                <w:ilvl w:val="0"/>
                <w:numId w:val="11"/>
              </w:numPr>
              <w:autoSpaceDE w:val="0"/>
              <w:autoSpaceDN w:val="0"/>
              <w:adjustRightInd w:val="0"/>
              <w:snapToGrid w:val="0"/>
              <w:spacing w:after="120" w:line="259" w:lineRule="auto"/>
              <w:contextualSpacing/>
              <w:jc w:val="both"/>
              <w:rPr>
                <w:rFonts w:eastAsia="SimSun"/>
                <w:bCs/>
                <w:lang w:val="en-US"/>
              </w:rPr>
            </w:pPr>
            <w:r w:rsidRPr="00DE7FA0">
              <w:rPr>
                <w:rFonts w:eastAsia="SimSun"/>
                <w:bCs/>
                <w:lang w:val="en-US"/>
              </w:rPr>
              <w:t xml:space="preserve">At least one CSI-RS for tracking (TRS) configuration </w:t>
            </w:r>
            <w:r w:rsidRPr="00DE7FA0">
              <w:rPr>
                <w:rFonts w:eastAsia="SimSun"/>
                <w:bCs/>
                <w:lang w:val="en-US" w:eastAsia="zh-CN"/>
              </w:rPr>
              <w:t>for Rx – Tx time difference estimation at UE side</w:t>
            </w:r>
            <w:r w:rsidRPr="00DE7FA0">
              <w:rPr>
                <w:rFonts w:eastAsia="SimSun"/>
                <w:bCs/>
                <w:color w:val="000000"/>
                <w:lang w:val="en-US" w:eastAsia="zh-CN"/>
              </w:rPr>
              <w:t xml:space="preserve"> if PRS is not configured</w:t>
            </w:r>
          </w:p>
          <w:p w14:paraId="49E8098F" w14:textId="77777777" w:rsidR="00DE7FA0" w:rsidRPr="00DE7FA0" w:rsidRDefault="00DE7FA0" w:rsidP="005240AE">
            <w:pPr>
              <w:numPr>
                <w:ilvl w:val="0"/>
                <w:numId w:val="11"/>
              </w:numPr>
              <w:autoSpaceDE w:val="0"/>
              <w:autoSpaceDN w:val="0"/>
              <w:adjustRightInd w:val="0"/>
              <w:snapToGrid w:val="0"/>
              <w:spacing w:after="120" w:line="259" w:lineRule="auto"/>
              <w:contextualSpacing/>
              <w:jc w:val="both"/>
              <w:rPr>
                <w:rFonts w:eastAsia="SimSun"/>
                <w:bCs/>
                <w:lang w:val="en-US"/>
              </w:rPr>
            </w:pPr>
            <w:r w:rsidRPr="00DE7FA0">
              <w:rPr>
                <w:rFonts w:eastAsia="SimSun"/>
                <w:bCs/>
                <w:lang w:val="en-US"/>
              </w:rPr>
              <w:t xml:space="preserve">At least one SRS configuration </w:t>
            </w:r>
            <w:r w:rsidRPr="00DE7FA0">
              <w:rPr>
                <w:rFonts w:eastAsia="SimSun"/>
                <w:bCs/>
                <w:lang w:val="en-US" w:eastAsia="zh-CN"/>
              </w:rPr>
              <w:t>for Rx – Tx time difference estimation at gNB side</w:t>
            </w:r>
          </w:p>
          <w:p w14:paraId="65C39BEC" w14:textId="77777777" w:rsidR="00DE7FA0" w:rsidRPr="00DE7FA0" w:rsidRDefault="00DE7FA0" w:rsidP="005240AE">
            <w:pPr>
              <w:autoSpaceDE w:val="0"/>
              <w:autoSpaceDN w:val="0"/>
              <w:adjustRightInd w:val="0"/>
              <w:snapToGrid w:val="0"/>
              <w:spacing w:after="120" w:line="259" w:lineRule="auto"/>
              <w:jc w:val="both"/>
              <w:rPr>
                <w:rFonts w:eastAsia="SimSun"/>
                <w:lang w:val="en-US" w:eastAsia="zh-CN"/>
              </w:rPr>
            </w:pPr>
          </w:p>
          <w:p w14:paraId="1C4198EF"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1B94C764" w14:textId="77777777" w:rsidR="00DE7FA0" w:rsidRPr="00DE7FA0" w:rsidRDefault="00DE7FA0" w:rsidP="005240AE">
            <w:pPr>
              <w:autoSpaceDE w:val="0"/>
              <w:autoSpaceDN w:val="0"/>
              <w:adjustRightInd w:val="0"/>
              <w:snapToGrid w:val="0"/>
              <w:spacing w:after="120" w:line="259" w:lineRule="auto"/>
              <w:jc w:val="both"/>
              <w:rPr>
                <w:rFonts w:eastAsia="SimSun"/>
                <w:lang w:val="en-US" w:eastAsia="zh-CN"/>
              </w:rPr>
            </w:pPr>
            <w:r w:rsidRPr="00DE7FA0">
              <w:rPr>
                <w:rFonts w:eastAsia="SimSun"/>
                <w:lang w:val="en-US" w:eastAsia="zh-CN"/>
              </w:rPr>
              <w:t xml:space="preserve">If RTT-based propagation delay compensation is supported and performed at the UE side, the Rx-Tx measurement report provided from the gNB to the UE should include at least:  </w:t>
            </w:r>
          </w:p>
          <w:p w14:paraId="35B21481" w14:textId="77777777" w:rsidR="00DE7FA0" w:rsidRPr="00DE7FA0" w:rsidRDefault="00DE7FA0" w:rsidP="005240AE">
            <w:pPr>
              <w:numPr>
                <w:ilvl w:val="0"/>
                <w:numId w:val="11"/>
              </w:numPr>
              <w:autoSpaceDE w:val="0"/>
              <w:autoSpaceDN w:val="0"/>
              <w:adjustRightInd w:val="0"/>
              <w:snapToGrid w:val="0"/>
              <w:spacing w:after="120" w:line="259" w:lineRule="auto"/>
              <w:contextualSpacing/>
              <w:jc w:val="both"/>
              <w:rPr>
                <w:rFonts w:eastAsia="SimSun"/>
                <w:bCs/>
                <w:lang w:val="en-US"/>
              </w:rPr>
            </w:pPr>
            <w:r w:rsidRPr="00DE7FA0">
              <w:rPr>
                <w:rFonts w:eastAsia="SimSun"/>
                <w:bCs/>
                <w:lang w:val="en-US"/>
              </w:rPr>
              <w:t>gNB Rx-Tx time difference at a given granularity</w:t>
            </w:r>
          </w:p>
          <w:p w14:paraId="0BC97627" w14:textId="77777777" w:rsidR="00DE7FA0" w:rsidRPr="00DE7FA0" w:rsidRDefault="00DE7FA0" w:rsidP="005240AE">
            <w:pPr>
              <w:numPr>
                <w:ilvl w:val="0"/>
                <w:numId w:val="11"/>
              </w:numPr>
              <w:autoSpaceDE w:val="0"/>
              <w:autoSpaceDN w:val="0"/>
              <w:adjustRightInd w:val="0"/>
              <w:snapToGrid w:val="0"/>
              <w:spacing w:after="120" w:line="259" w:lineRule="auto"/>
              <w:contextualSpacing/>
              <w:jc w:val="both"/>
              <w:rPr>
                <w:rFonts w:eastAsia="SimSun"/>
                <w:bCs/>
                <w:lang w:val="en-US"/>
              </w:rPr>
            </w:pPr>
            <w:r w:rsidRPr="00DE7FA0">
              <w:rPr>
                <w:rFonts w:eastAsia="SimSun"/>
                <w:bCs/>
                <w:lang w:val="en-US"/>
              </w:rPr>
              <w:t>FFS whether to include SRS-Resource-ID</w:t>
            </w:r>
          </w:p>
          <w:p w14:paraId="4AC66F1D" w14:textId="77777777" w:rsidR="00DE7FA0" w:rsidRPr="00DE7FA0" w:rsidRDefault="00DE7FA0" w:rsidP="005240AE">
            <w:pPr>
              <w:autoSpaceDE w:val="0"/>
              <w:autoSpaceDN w:val="0"/>
              <w:adjustRightInd w:val="0"/>
              <w:snapToGrid w:val="0"/>
              <w:spacing w:after="120" w:line="259" w:lineRule="auto"/>
              <w:ind w:left="720"/>
              <w:contextualSpacing/>
              <w:jc w:val="both"/>
              <w:rPr>
                <w:rFonts w:eastAsia="SimSun"/>
                <w:bCs/>
                <w:sz w:val="22"/>
                <w:szCs w:val="22"/>
                <w:lang w:val="en-US"/>
              </w:rPr>
            </w:pPr>
          </w:p>
          <w:p w14:paraId="39A1872C"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04CB8272" w14:textId="77777777" w:rsidR="00DE7FA0" w:rsidRPr="00DE7FA0" w:rsidRDefault="00DE7FA0" w:rsidP="005240AE">
            <w:pPr>
              <w:spacing w:after="0"/>
              <w:jc w:val="both"/>
              <w:rPr>
                <w:rFonts w:ascii="Times" w:eastAsia="Batang" w:hAnsi="Times" w:cs="Times"/>
                <w:lang w:eastAsia="zh-CN"/>
              </w:rPr>
            </w:pPr>
            <w:r w:rsidRPr="00DE7FA0">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0E5812A1" w14:textId="77777777" w:rsidR="00DE7FA0" w:rsidRPr="00DE7FA0" w:rsidRDefault="00DE7FA0" w:rsidP="005240AE">
            <w:pPr>
              <w:numPr>
                <w:ilvl w:val="0"/>
                <w:numId w:val="13"/>
              </w:numPr>
              <w:overflowPunct w:val="0"/>
              <w:autoSpaceDE w:val="0"/>
              <w:autoSpaceDN w:val="0"/>
              <w:adjustRightInd w:val="0"/>
              <w:spacing w:after="0"/>
              <w:contextualSpacing/>
              <w:jc w:val="both"/>
              <w:textAlignment w:val="baseline"/>
              <w:rPr>
                <w:rFonts w:ascii="Times" w:eastAsia="Batang" w:hAnsi="Times"/>
                <w:iCs/>
                <w:szCs w:val="24"/>
                <w:lang w:eastAsia="zh-CN"/>
              </w:rPr>
            </w:pPr>
            <w:r w:rsidRPr="00DE7FA0">
              <w:rPr>
                <w:rFonts w:ascii="Times" w:eastAsia="Batang" w:hAnsi="Times"/>
                <w:iCs/>
                <w:szCs w:val="24"/>
                <w:lang w:eastAsia="zh-CN"/>
              </w:rPr>
              <w:t>UE Rx-Tx time difference at a given granularity</w:t>
            </w:r>
          </w:p>
          <w:p w14:paraId="63CF5B57" w14:textId="77777777" w:rsidR="00DE7FA0" w:rsidRPr="00DE7FA0" w:rsidRDefault="00DE7FA0" w:rsidP="005240AE">
            <w:pPr>
              <w:autoSpaceDE w:val="0"/>
              <w:autoSpaceDN w:val="0"/>
              <w:adjustRightInd w:val="0"/>
              <w:snapToGrid w:val="0"/>
              <w:spacing w:after="120" w:line="259" w:lineRule="auto"/>
              <w:contextualSpacing/>
              <w:jc w:val="both"/>
              <w:rPr>
                <w:rFonts w:eastAsia="SimSun"/>
                <w:bCs/>
                <w:sz w:val="22"/>
                <w:szCs w:val="22"/>
                <w:lang w:val="en-US"/>
              </w:rPr>
            </w:pPr>
          </w:p>
          <w:p w14:paraId="24F002EE"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26AD34A3" w14:textId="77777777" w:rsidR="00DE7FA0" w:rsidRPr="00DE7FA0" w:rsidRDefault="00DE7FA0" w:rsidP="005240AE">
            <w:pPr>
              <w:spacing w:after="0"/>
              <w:jc w:val="both"/>
              <w:rPr>
                <w:rFonts w:eastAsia="SimSun"/>
                <w:lang w:eastAsia="zh-CN"/>
              </w:rPr>
            </w:pPr>
            <w:r w:rsidRPr="00DE7FA0">
              <w:rPr>
                <w:rFonts w:eastAsia="SimSun"/>
                <w:lang w:eastAsia="zh-CN"/>
              </w:rPr>
              <w:t xml:space="preserve">Send LS to RAN4 to ask for defining the following for RTT-based propagation delay compensation, if RTT-based propagation delay compensation is supported.   </w:t>
            </w:r>
          </w:p>
          <w:p w14:paraId="5DC91253" w14:textId="77777777" w:rsidR="00DE7FA0" w:rsidRPr="00DE7FA0" w:rsidRDefault="00DE7FA0" w:rsidP="005240AE">
            <w:pPr>
              <w:numPr>
                <w:ilvl w:val="0"/>
                <w:numId w:val="11"/>
              </w:numPr>
              <w:spacing w:after="0"/>
              <w:contextualSpacing/>
              <w:jc w:val="both"/>
              <w:rPr>
                <w:rFonts w:eastAsia="SimSun"/>
                <w:bCs/>
                <w:lang w:val="en-US"/>
              </w:rPr>
            </w:pPr>
            <w:r w:rsidRPr="00DE7FA0">
              <w:rPr>
                <w:rFonts w:eastAsia="SimSun"/>
                <w:lang w:val="en-US"/>
              </w:rPr>
              <w:t xml:space="preserve">UE Rx-Tx time difference measurement accuracy </w:t>
            </w:r>
            <w:r w:rsidRPr="00DE7FA0">
              <w:rPr>
                <w:rFonts w:eastAsia="SimSun"/>
                <w:i/>
                <w:lang w:val="en-US"/>
              </w:rPr>
              <w:t>error</w:t>
            </w:r>
            <w:r w:rsidRPr="00DE7FA0">
              <w:rPr>
                <w:rFonts w:eastAsia="SimSun"/>
                <w:i/>
                <w:vertAlign w:val="subscript"/>
                <w:lang w:val="en-US"/>
              </w:rPr>
              <w:t>UE,RxTxDiff</w:t>
            </w:r>
            <w:r w:rsidRPr="00DE7FA0">
              <w:rPr>
                <w:rFonts w:eastAsia="SimSun"/>
                <w:i/>
                <w:lang w:val="en-US"/>
              </w:rPr>
              <w:t xml:space="preserve"> </w:t>
            </w:r>
            <w:r w:rsidRPr="00DE7FA0">
              <w:rPr>
                <w:rFonts w:eastAsia="SimSun"/>
                <w:lang w:val="en-US"/>
              </w:rPr>
              <w:t>based on CSI-RS for tracking</w:t>
            </w:r>
          </w:p>
          <w:p w14:paraId="05D0F470" w14:textId="77777777" w:rsidR="00DE7FA0" w:rsidRPr="00DE7FA0" w:rsidRDefault="00DE7FA0" w:rsidP="005240AE">
            <w:pPr>
              <w:numPr>
                <w:ilvl w:val="0"/>
                <w:numId w:val="11"/>
              </w:numPr>
              <w:spacing w:after="0"/>
              <w:contextualSpacing/>
              <w:jc w:val="both"/>
              <w:rPr>
                <w:rFonts w:eastAsia="SimSun"/>
                <w:color w:val="000000"/>
                <w:lang w:val="x-none" w:eastAsia="zh-CN"/>
              </w:rPr>
            </w:pPr>
            <w:r w:rsidRPr="00DE7FA0">
              <w:rPr>
                <w:rFonts w:eastAsia="SimSun"/>
                <w:lang w:val="en-US"/>
              </w:rPr>
              <w:t>gNB Rx-Tx time difference absolute accuracy</w:t>
            </w:r>
            <w:r w:rsidRPr="00DE7FA0">
              <w:rPr>
                <w:rFonts w:eastAsia="SimSun"/>
                <w:bCs/>
                <w:lang w:val="en-US"/>
              </w:rPr>
              <w:fldChar w:fldCharType="begin"/>
            </w:r>
            <w:r w:rsidRPr="00DE7FA0">
              <w:rPr>
                <w:rFonts w:eastAsia="SimSun"/>
                <w:bCs/>
                <w:lang w:val="en-US"/>
              </w:rPr>
              <w:instrText xml:space="preserve"> QUOTE </w:instrText>
            </w:r>
            <w:r w:rsidRPr="00DE7FA0">
              <w:rPr>
                <w:rFonts w:ascii="Cambria Math" w:hAnsi="Cambria Math"/>
                <w:lang w:val="en-US"/>
              </w:rPr>
              <w:instrText>errorgNB,RxTxDiff</w:instrText>
            </w:r>
            <w:r w:rsidRPr="00DE7FA0">
              <w:rPr>
                <w:rFonts w:eastAsia="SimSun"/>
                <w:bCs/>
                <w:lang w:val="en-US"/>
              </w:rPr>
              <w:instrText xml:space="preserve"> </w:instrText>
            </w:r>
            <w:r w:rsidRPr="00DE7FA0">
              <w:rPr>
                <w:rFonts w:eastAsia="SimSun"/>
                <w:bCs/>
                <w:lang w:val="en-US"/>
              </w:rPr>
              <w:fldChar w:fldCharType="end"/>
            </w:r>
            <w:r w:rsidRPr="00DE7FA0">
              <w:rPr>
                <w:rFonts w:eastAsia="SimSun"/>
                <w:i/>
                <w:lang w:val="en-US"/>
              </w:rPr>
              <w:t xml:space="preserve"> error</w:t>
            </w:r>
            <w:r w:rsidRPr="00DE7FA0">
              <w:rPr>
                <w:rFonts w:eastAsia="SimSun"/>
                <w:i/>
                <w:vertAlign w:val="subscript"/>
                <w:lang w:val="en-US"/>
              </w:rPr>
              <w:t>UE,RxTxDiff</w:t>
            </w:r>
            <w:r w:rsidRPr="00DE7FA0">
              <w:rPr>
                <w:rFonts w:eastAsia="SimSun"/>
                <w:i/>
                <w:lang w:val="en-US"/>
              </w:rPr>
              <w:t xml:space="preserve"> </w:t>
            </w:r>
            <w:r w:rsidRPr="00DE7FA0">
              <w:rPr>
                <w:rFonts w:eastAsia="SimSun"/>
                <w:bCs/>
                <w:lang w:val="en-US"/>
              </w:rPr>
              <w:t>based on SRS</w:t>
            </w:r>
          </w:p>
          <w:p w14:paraId="3C3E30F3" w14:textId="77777777" w:rsidR="00DE7FA0" w:rsidRPr="00DE7FA0" w:rsidRDefault="00DE7FA0" w:rsidP="005240AE">
            <w:pPr>
              <w:autoSpaceDE w:val="0"/>
              <w:autoSpaceDN w:val="0"/>
              <w:adjustRightInd w:val="0"/>
              <w:snapToGrid w:val="0"/>
              <w:spacing w:after="120" w:line="259" w:lineRule="auto"/>
              <w:contextualSpacing/>
              <w:jc w:val="both"/>
              <w:rPr>
                <w:rFonts w:eastAsia="SimSun"/>
                <w:bCs/>
                <w:sz w:val="22"/>
                <w:szCs w:val="22"/>
              </w:rPr>
            </w:pPr>
          </w:p>
          <w:p w14:paraId="38E89FF6"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4F4D775C" w14:textId="77777777" w:rsidR="00DE7FA0" w:rsidRPr="00DE7FA0" w:rsidRDefault="00DE7FA0" w:rsidP="005240AE">
            <w:pPr>
              <w:spacing w:after="0"/>
              <w:jc w:val="both"/>
              <w:rPr>
                <w:rFonts w:ascii="Times" w:eastAsia="Batang" w:hAnsi="Times" w:cs="Times"/>
                <w:bCs/>
                <w:lang w:eastAsia="zh-CN"/>
              </w:rPr>
            </w:pPr>
            <w:r w:rsidRPr="00DE7FA0">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69E8D9D7" w14:textId="77777777" w:rsidR="00DE7FA0" w:rsidRPr="00DE7FA0" w:rsidRDefault="00DE7FA0" w:rsidP="005240AE">
            <w:pPr>
              <w:spacing w:after="0"/>
              <w:jc w:val="both"/>
              <w:rPr>
                <w:rFonts w:ascii="Times" w:eastAsia="SimSun" w:hAnsi="Times" w:cs="Times"/>
                <w:bCs/>
                <w:lang w:eastAsia="zh-CN"/>
              </w:rPr>
            </w:pPr>
          </w:p>
          <w:p w14:paraId="24F9E9A5" w14:textId="77777777" w:rsidR="00DE7FA0" w:rsidRPr="00DE7FA0" w:rsidRDefault="00DE7FA0" w:rsidP="005240AE">
            <w:pPr>
              <w:spacing w:after="0"/>
              <w:jc w:val="both"/>
              <w:rPr>
                <w:rFonts w:ascii="Times" w:eastAsia="SimSun" w:hAnsi="Times" w:cs="Times"/>
                <w:bCs/>
                <w:lang w:eastAsia="zh-CN"/>
              </w:rPr>
            </w:pPr>
          </w:p>
          <w:p w14:paraId="22851EEF" w14:textId="77777777" w:rsidR="00DE7FA0" w:rsidRPr="00DE7FA0" w:rsidRDefault="00DE7FA0" w:rsidP="005240AE">
            <w:pPr>
              <w:widowControl w:val="0"/>
              <w:autoSpaceDE w:val="0"/>
              <w:autoSpaceDN w:val="0"/>
              <w:adjustRightInd w:val="0"/>
              <w:snapToGrid w:val="0"/>
              <w:spacing w:after="120" w:line="259" w:lineRule="auto"/>
              <w:jc w:val="both"/>
              <w:rPr>
                <w:rFonts w:eastAsia="SimSun"/>
                <w:highlight w:val="green"/>
                <w:lang w:val="en-US"/>
              </w:rPr>
            </w:pPr>
            <w:r w:rsidRPr="00DE7FA0">
              <w:rPr>
                <w:rFonts w:eastAsia="SimSun"/>
                <w:highlight w:val="green"/>
                <w:lang w:val="en-US"/>
              </w:rPr>
              <w:t>Agreement</w:t>
            </w:r>
          </w:p>
          <w:p w14:paraId="68006EF2" w14:textId="77777777" w:rsidR="00DE7FA0" w:rsidRPr="00DE7FA0" w:rsidRDefault="00DE7FA0" w:rsidP="005240AE">
            <w:pPr>
              <w:autoSpaceDE w:val="0"/>
              <w:autoSpaceDN w:val="0"/>
              <w:adjustRightInd w:val="0"/>
              <w:snapToGrid w:val="0"/>
              <w:spacing w:after="60" w:line="259" w:lineRule="auto"/>
              <w:jc w:val="both"/>
              <w:rPr>
                <w:rFonts w:eastAsia="SimSun"/>
                <w:color w:val="000000"/>
                <w:lang w:val="en-US"/>
              </w:rPr>
            </w:pPr>
            <w:r w:rsidRPr="00DE7FA0">
              <w:rPr>
                <w:rFonts w:eastAsia="SimSun"/>
                <w:lang w:val="en-US"/>
              </w:rPr>
              <w:t xml:space="preserve">If RTT-based </w:t>
            </w:r>
            <w:r w:rsidRPr="00DE7FA0">
              <w:rPr>
                <w:rFonts w:eastAsia="SimSun"/>
                <w:color w:val="000000"/>
                <w:lang w:val="en-US"/>
              </w:rPr>
              <w:t xml:space="preserve">propagation delay compensation is supported, the </w:t>
            </w:r>
            <w:r w:rsidRPr="00DE7FA0">
              <w:rPr>
                <w:rFonts w:eastAsia="SimSun"/>
                <w:bCs/>
                <w:color w:val="000000"/>
                <w:lang w:val="en-US"/>
              </w:rPr>
              <w:t xml:space="preserve">Rx-Tx time difference is reported with </w:t>
            </w:r>
            <w:r w:rsidRPr="00DE7FA0">
              <w:rPr>
                <w:rFonts w:eastAsia="SimSun"/>
                <w:color w:val="000000"/>
                <w:lang w:val="en-US"/>
              </w:rPr>
              <w:t xml:space="preserve">granularity </w:t>
            </w:r>
            <w:r w:rsidRPr="00DE7FA0">
              <w:rPr>
                <w:rFonts w:eastAsia="SimSun"/>
                <w:i/>
                <w:color w:val="000000"/>
                <w:lang w:val="en-US"/>
              </w:rPr>
              <w:t>2</w:t>
            </w:r>
            <w:r w:rsidRPr="00DE7FA0">
              <w:rPr>
                <w:rFonts w:eastAsia="SimSun"/>
                <w:i/>
                <w:iCs/>
                <w:color w:val="000000"/>
                <w:vertAlign w:val="superscript"/>
                <w:lang w:val="en-US"/>
              </w:rPr>
              <w:t>k</w:t>
            </w:r>
            <w:r w:rsidRPr="00DE7FA0">
              <w:rPr>
                <w:rFonts w:eastAsia="SimSun"/>
                <w:i/>
                <w:color w:val="000000"/>
                <w:lang w:val="en-US"/>
              </w:rPr>
              <w:t>*T</w:t>
            </w:r>
            <w:r w:rsidRPr="00DE7FA0">
              <w:rPr>
                <w:rFonts w:eastAsia="SimSun"/>
                <w:i/>
                <w:color w:val="000000"/>
                <w:vertAlign w:val="subscript"/>
                <w:lang w:val="en-US"/>
              </w:rPr>
              <w:t>c</w:t>
            </w:r>
            <w:r w:rsidRPr="00DE7FA0">
              <w:rPr>
                <w:rFonts w:eastAsia="SimSun"/>
                <w:color w:val="000000"/>
                <w:lang w:val="en-US"/>
              </w:rPr>
              <w:t xml:space="preserve">, where </w:t>
            </w:r>
            <w:r w:rsidRPr="00DE7FA0">
              <w:rPr>
                <w:rFonts w:eastAsia="SimSun"/>
                <w:i/>
                <w:iCs/>
                <w:color w:val="000000"/>
                <w:lang w:val="en-US"/>
              </w:rPr>
              <w:t>k</w:t>
            </w:r>
            <w:r w:rsidRPr="00DE7FA0">
              <w:rPr>
                <w:rFonts w:eastAsia="SimSun"/>
                <w:color w:val="000000"/>
                <w:lang w:val="en-US"/>
              </w:rPr>
              <w:t xml:space="preserve"> is an integer satisfying 0&lt;=</w:t>
            </w:r>
            <w:r w:rsidRPr="00DE7FA0">
              <w:rPr>
                <w:rFonts w:eastAsia="SimSun"/>
                <w:i/>
                <w:iCs/>
                <w:color w:val="000000"/>
                <w:lang w:val="en-US"/>
              </w:rPr>
              <w:t>k</w:t>
            </w:r>
            <w:r w:rsidRPr="00DE7FA0">
              <w:rPr>
                <w:rFonts w:eastAsia="SimSun"/>
                <w:color w:val="000000"/>
                <w:lang w:val="en-US"/>
              </w:rPr>
              <w:t xml:space="preserve">&lt;=5.   </w:t>
            </w:r>
          </w:p>
          <w:p w14:paraId="73AD15A0" w14:textId="77777777" w:rsidR="00DE7FA0" w:rsidRPr="00DE7FA0" w:rsidRDefault="00DE7FA0" w:rsidP="005240AE">
            <w:pPr>
              <w:numPr>
                <w:ilvl w:val="0"/>
                <w:numId w:val="10"/>
              </w:numPr>
              <w:autoSpaceDE w:val="0"/>
              <w:autoSpaceDN w:val="0"/>
              <w:adjustRightInd w:val="0"/>
              <w:snapToGrid w:val="0"/>
              <w:spacing w:after="0" w:line="259" w:lineRule="auto"/>
              <w:ind w:left="714" w:hanging="357"/>
              <w:jc w:val="both"/>
              <w:rPr>
                <w:rFonts w:ascii="Times" w:eastAsia="Batang" w:hAnsi="Times" w:cs="Calibri"/>
                <w:bCs/>
                <w:color w:val="000000"/>
                <w:lang w:val="en-US"/>
              </w:rPr>
            </w:pPr>
            <w:r w:rsidRPr="00DE7FA0">
              <w:rPr>
                <w:rFonts w:eastAsia="SimSun"/>
                <w:color w:val="000000"/>
                <w:lang w:val="en-US"/>
              </w:rPr>
              <w:t xml:space="preserve">FFS the value of </w:t>
            </w:r>
            <w:r w:rsidRPr="00DE7FA0">
              <w:rPr>
                <w:rFonts w:eastAsia="SimSun"/>
                <w:i/>
                <w:iCs/>
                <w:color w:val="000000"/>
                <w:lang w:val="en-US"/>
              </w:rPr>
              <w:t>k</w:t>
            </w:r>
          </w:p>
          <w:p w14:paraId="5223818D" w14:textId="77777777" w:rsidR="00DE7FA0" w:rsidRPr="00DE7FA0" w:rsidRDefault="00DE7FA0" w:rsidP="005240AE">
            <w:pPr>
              <w:numPr>
                <w:ilvl w:val="0"/>
                <w:numId w:val="10"/>
              </w:numPr>
              <w:autoSpaceDE w:val="0"/>
              <w:autoSpaceDN w:val="0"/>
              <w:adjustRightInd w:val="0"/>
              <w:snapToGrid w:val="0"/>
              <w:spacing w:after="0" w:line="259" w:lineRule="auto"/>
              <w:ind w:left="714" w:hanging="357"/>
              <w:jc w:val="both"/>
              <w:rPr>
                <w:rFonts w:ascii="Times" w:eastAsia="Batang" w:hAnsi="Times" w:cs="Times"/>
                <w:color w:val="000000"/>
                <w:lang w:eastAsia="zh-CN"/>
              </w:rPr>
            </w:pPr>
            <w:r w:rsidRPr="00DE7FA0">
              <w:rPr>
                <w:rFonts w:eastAsia="SimSun"/>
                <w:bCs/>
                <w:iCs/>
                <w:color w:val="000000"/>
                <w:lang w:val="en-US"/>
              </w:rPr>
              <w:t>FFS the reporting range of Rx-Tx time difference measurement for PDC</w:t>
            </w:r>
          </w:p>
          <w:p w14:paraId="21DD783D" w14:textId="77777777" w:rsidR="00DE7FA0" w:rsidRDefault="00DE7FA0" w:rsidP="005240AE">
            <w:pPr>
              <w:autoSpaceDN w:val="0"/>
              <w:spacing w:afterLines="20" w:after="48"/>
              <w:jc w:val="both"/>
              <w:rPr>
                <w:rFonts w:eastAsia="Batang"/>
                <w:b/>
                <w:bCs/>
                <w:highlight w:val="green"/>
              </w:rPr>
            </w:pPr>
          </w:p>
          <w:p w14:paraId="11247FCB" w14:textId="77777777" w:rsidR="00C60992" w:rsidRDefault="00C60992" w:rsidP="005240AE">
            <w:pPr>
              <w:autoSpaceDN w:val="0"/>
              <w:spacing w:afterLines="20" w:after="48"/>
              <w:jc w:val="both"/>
              <w:rPr>
                <w:rFonts w:eastAsia="Batang"/>
                <w:b/>
                <w:bCs/>
                <w:u w:val="single"/>
              </w:rPr>
            </w:pPr>
          </w:p>
          <w:p w14:paraId="284BD1BB" w14:textId="2091B6F4" w:rsidR="00DE7FA0" w:rsidRPr="00C60992" w:rsidRDefault="00DE7FA0" w:rsidP="005240AE">
            <w:pPr>
              <w:autoSpaceDN w:val="0"/>
              <w:spacing w:afterLines="20" w:after="48"/>
              <w:jc w:val="both"/>
              <w:rPr>
                <w:rFonts w:eastAsia="Batang"/>
                <w:b/>
                <w:bCs/>
                <w:u w:val="single"/>
              </w:rPr>
            </w:pPr>
            <w:r w:rsidRPr="00C60992">
              <w:rPr>
                <w:rFonts w:eastAsia="Batang"/>
                <w:b/>
                <w:bCs/>
                <w:u w:val="single"/>
              </w:rPr>
              <w:t>From R1-2112834</w:t>
            </w:r>
          </w:p>
          <w:p w14:paraId="145A025E" w14:textId="77777777" w:rsidR="00DE7FA0" w:rsidRDefault="00DE7FA0" w:rsidP="005240AE">
            <w:pPr>
              <w:autoSpaceDN w:val="0"/>
              <w:spacing w:afterLines="20" w:after="48"/>
              <w:jc w:val="both"/>
              <w:rPr>
                <w:rFonts w:eastAsia="Batang"/>
                <w:b/>
                <w:bCs/>
                <w:highlight w:val="green"/>
              </w:rPr>
            </w:pPr>
          </w:p>
          <w:p w14:paraId="0EACD9A5" w14:textId="49B7B948" w:rsidR="00FB5F4E" w:rsidRPr="00FB5F4E" w:rsidRDefault="00FB5F4E" w:rsidP="005240AE">
            <w:pPr>
              <w:autoSpaceDN w:val="0"/>
              <w:spacing w:afterLines="20" w:after="48"/>
              <w:jc w:val="both"/>
              <w:rPr>
                <w:rFonts w:eastAsia="Malgun Gothic"/>
                <w:b/>
                <w:bCs/>
                <w:highlight w:val="green"/>
                <w:lang w:val="en-US" w:eastAsia="zh-CN"/>
              </w:rPr>
            </w:pPr>
            <w:r w:rsidRPr="00FB5F4E">
              <w:rPr>
                <w:rFonts w:eastAsia="Batang"/>
                <w:b/>
                <w:bCs/>
                <w:highlight w:val="green"/>
              </w:rPr>
              <w:t>Agreement</w:t>
            </w:r>
          </w:p>
          <w:p w14:paraId="18265468" w14:textId="77777777" w:rsidR="00FB5F4E" w:rsidRPr="00FB5F4E" w:rsidRDefault="00FB5F4E" w:rsidP="005240AE">
            <w:pPr>
              <w:autoSpaceDN w:val="0"/>
              <w:spacing w:afterLines="50" w:after="120"/>
              <w:jc w:val="both"/>
              <w:rPr>
                <w:rFonts w:eastAsia="Batang"/>
                <w:bCs/>
              </w:rPr>
            </w:pPr>
            <w:r w:rsidRPr="00FB5F4E">
              <w:rPr>
                <w:rFonts w:eastAsia="Batang"/>
                <w:bCs/>
              </w:rPr>
              <w:t xml:space="preserve">If RTT-based PDC is supported, a single granularity 32Tc (i.e. k=5) is supported for Rx-Tx measurement report. </w:t>
            </w:r>
          </w:p>
          <w:p w14:paraId="1180CC83" w14:textId="77777777" w:rsidR="00FB5F4E" w:rsidRPr="00FB5F4E" w:rsidRDefault="00FB5F4E" w:rsidP="005240AE">
            <w:pPr>
              <w:autoSpaceDN w:val="0"/>
              <w:spacing w:after="0"/>
              <w:jc w:val="both"/>
              <w:rPr>
                <w:rFonts w:eastAsia="Batang"/>
                <w:bCs/>
              </w:rPr>
            </w:pPr>
          </w:p>
          <w:p w14:paraId="15326FF2" w14:textId="77777777" w:rsidR="00FB5F4E" w:rsidRPr="00FB5F4E" w:rsidRDefault="00FB5F4E" w:rsidP="005240AE">
            <w:pPr>
              <w:autoSpaceDN w:val="0"/>
              <w:spacing w:afterLines="20" w:after="48"/>
              <w:jc w:val="both"/>
              <w:rPr>
                <w:rFonts w:eastAsia="Batang"/>
                <w:b/>
                <w:bCs/>
                <w:highlight w:val="green"/>
              </w:rPr>
            </w:pPr>
            <w:r w:rsidRPr="00FB5F4E">
              <w:rPr>
                <w:rFonts w:eastAsia="Batang"/>
                <w:b/>
                <w:bCs/>
                <w:highlight w:val="green"/>
              </w:rPr>
              <w:t xml:space="preserve">Agreement </w:t>
            </w:r>
          </w:p>
          <w:p w14:paraId="4AFD4CCA" w14:textId="77777777" w:rsidR="00FB5F4E" w:rsidRPr="00FB5F4E" w:rsidRDefault="00FB5F4E" w:rsidP="005240AE">
            <w:pPr>
              <w:autoSpaceDE w:val="0"/>
              <w:autoSpaceDN w:val="0"/>
              <w:adjustRightInd w:val="0"/>
              <w:snapToGrid w:val="0"/>
              <w:spacing w:after="120"/>
              <w:jc w:val="both"/>
              <w:rPr>
                <w:rFonts w:eastAsia="SimSun"/>
                <w:color w:val="000000"/>
                <w:lang w:val="en-US"/>
              </w:rPr>
            </w:pPr>
            <w:r w:rsidRPr="00FB5F4E">
              <w:rPr>
                <w:rFonts w:eastAsia="SimSun"/>
                <w:color w:val="000000"/>
                <w:lang w:val="en-US"/>
              </w:rPr>
              <w:t xml:space="preserve">For Rel-17 </w:t>
            </w:r>
          </w:p>
          <w:p w14:paraId="7277ABDC" w14:textId="77777777" w:rsidR="00FB5F4E" w:rsidRPr="00FB5F4E" w:rsidRDefault="00FB5F4E" w:rsidP="005240AE">
            <w:pPr>
              <w:numPr>
                <w:ilvl w:val="0"/>
                <w:numId w:val="9"/>
              </w:numPr>
              <w:autoSpaceDE w:val="0"/>
              <w:autoSpaceDN w:val="0"/>
              <w:adjustRightInd w:val="0"/>
              <w:snapToGrid w:val="0"/>
              <w:spacing w:after="0"/>
              <w:jc w:val="both"/>
              <w:rPr>
                <w:rFonts w:eastAsia="SimSun"/>
                <w:lang w:val="en-US"/>
              </w:rPr>
            </w:pPr>
            <w:r w:rsidRPr="00FB5F4E">
              <w:rPr>
                <w:rFonts w:eastAsia="SimSun"/>
                <w:color w:val="000000"/>
                <w:lang w:val="en-US"/>
              </w:rPr>
              <w:t>S</w:t>
            </w:r>
            <w:r w:rsidRPr="00FB5F4E">
              <w:rPr>
                <w:rFonts w:eastAsia="SimSun"/>
                <w:lang w:val="en-US"/>
              </w:rPr>
              <w:t xml:space="preserve">upport RTT-based PDC method </w:t>
            </w:r>
          </w:p>
          <w:p w14:paraId="740905E3" w14:textId="77777777" w:rsidR="00FB5F4E" w:rsidRPr="00FB5F4E" w:rsidRDefault="00FB5F4E" w:rsidP="005240AE">
            <w:pPr>
              <w:numPr>
                <w:ilvl w:val="0"/>
                <w:numId w:val="9"/>
              </w:numPr>
              <w:autoSpaceDE w:val="0"/>
              <w:autoSpaceDN w:val="0"/>
              <w:adjustRightInd w:val="0"/>
              <w:snapToGrid w:val="0"/>
              <w:spacing w:after="0"/>
              <w:jc w:val="both"/>
              <w:rPr>
                <w:rFonts w:eastAsia="SimSun"/>
                <w:bCs/>
                <w:lang w:val="en-US"/>
              </w:rPr>
            </w:pPr>
            <w:r w:rsidRPr="00FB5F4E">
              <w:rPr>
                <w:rFonts w:eastAsia="SimSun"/>
                <w:color w:val="000000"/>
                <w:lang w:val="en-US"/>
              </w:rPr>
              <w:t xml:space="preserve">Support PDC method based on </w:t>
            </w:r>
            <w:r w:rsidRPr="00FB5F4E">
              <w:rPr>
                <w:rFonts w:eastAsia="SimSun"/>
                <w:lang w:val="en-US"/>
              </w:rPr>
              <w:t>legacy TA-based mechanism</w:t>
            </w:r>
          </w:p>
          <w:p w14:paraId="1933D61F" w14:textId="77777777" w:rsidR="00FB5F4E" w:rsidRPr="00FB5F4E" w:rsidRDefault="00FB5F4E" w:rsidP="005240AE">
            <w:pPr>
              <w:numPr>
                <w:ilvl w:val="1"/>
                <w:numId w:val="9"/>
              </w:numPr>
              <w:autoSpaceDE w:val="0"/>
              <w:autoSpaceDN w:val="0"/>
              <w:adjustRightInd w:val="0"/>
              <w:snapToGrid w:val="0"/>
              <w:spacing w:after="0"/>
              <w:jc w:val="both"/>
              <w:rPr>
                <w:rFonts w:eastAsia="SimSun"/>
                <w:bCs/>
                <w:lang w:val="en-US"/>
              </w:rPr>
            </w:pPr>
            <w:r w:rsidRPr="00FB5F4E">
              <w:rPr>
                <w:rFonts w:eastAsia="SimSun"/>
                <w:color w:val="000000"/>
                <w:lang w:val="en-US"/>
              </w:rPr>
              <w:t xml:space="preserve"> No RAN1/RAN4 specification impact expected</w:t>
            </w:r>
          </w:p>
          <w:p w14:paraId="74AA1217" w14:textId="77777777" w:rsidR="00FB5F4E" w:rsidRPr="00FB5F4E" w:rsidRDefault="00FB5F4E" w:rsidP="005240AE">
            <w:pPr>
              <w:autoSpaceDN w:val="0"/>
              <w:spacing w:after="0"/>
              <w:jc w:val="both"/>
              <w:rPr>
                <w:rFonts w:eastAsia="Batang"/>
                <w:bCs/>
                <w:highlight w:val="green"/>
              </w:rPr>
            </w:pPr>
          </w:p>
          <w:p w14:paraId="3B84EA5A" w14:textId="77777777" w:rsidR="00FB5F4E" w:rsidRPr="00FB5F4E" w:rsidRDefault="00FB5F4E" w:rsidP="005240AE">
            <w:pPr>
              <w:autoSpaceDN w:val="0"/>
              <w:spacing w:afterLines="20" w:after="48"/>
              <w:jc w:val="both"/>
              <w:rPr>
                <w:rFonts w:eastAsia="SimSun"/>
                <w:b/>
                <w:highlight w:val="green"/>
                <w:lang w:val="en-US" w:eastAsia="zh-CN"/>
              </w:rPr>
            </w:pPr>
            <w:r w:rsidRPr="00FB5F4E">
              <w:rPr>
                <w:rFonts w:eastAsia="Batang"/>
                <w:b/>
                <w:bCs/>
                <w:highlight w:val="green"/>
              </w:rPr>
              <w:t xml:space="preserve">Agreement </w:t>
            </w:r>
          </w:p>
          <w:p w14:paraId="751F4B0B" w14:textId="77777777" w:rsidR="00FB5F4E" w:rsidRPr="00FB5F4E" w:rsidRDefault="00FB5F4E" w:rsidP="005240AE">
            <w:pPr>
              <w:autoSpaceDE w:val="0"/>
              <w:autoSpaceDN w:val="0"/>
              <w:adjustRightInd w:val="0"/>
              <w:snapToGrid w:val="0"/>
              <w:spacing w:after="120"/>
              <w:jc w:val="both"/>
              <w:rPr>
                <w:rFonts w:eastAsia="SimSun"/>
                <w:color w:val="000000"/>
                <w:lang w:val="en-US" w:eastAsia="zh-CN"/>
              </w:rPr>
            </w:pPr>
            <w:r w:rsidRPr="00FB5F4E">
              <w:rPr>
                <w:rFonts w:eastAsia="SimSun"/>
                <w:lang w:val="en-US" w:eastAsia="zh-CN"/>
              </w:rPr>
              <w:lastRenderedPageBreak/>
              <w:t>For RTT-based PDC, existing definitions of UE Rx – Tx time difference (i.e. section 5.1.30 in TS 38.215) and gNB Rx – Tx time difference (i.e. section 5.2.3 in TS 38.215) are reused</w:t>
            </w:r>
            <w:r w:rsidRPr="00FB5F4E">
              <w:rPr>
                <w:rFonts w:eastAsia="SimSun"/>
                <w:color w:val="000000"/>
                <w:lang w:val="en-US" w:eastAsia="zh-CN"/>
              </w:rPr>
              <w:t>, with updates at least to reflect the single pair of TRS/PRS and SRS configured for RTT-based PDC.</w:t>
            </w:r>
          </w:p>
          <w:p w14:paraId="4C8EE8B8" w14:textId="77777777" w:rsidR="00FB5F4E" w:rsidRPr="00FB5F4E" w:rsidRDefault="00FB5F4E" w:rsidP="005240AE">
            <w:pPr>
              <w:autoSpaceDE w:val="0"/>
              <w:autoSpaceDN w:val="0"/>
              <w:adjustRightInd w:val="0"/>
              <w:snapToGrid w:val="0"/>
              <w:spacing w:after="0" w:line="256" w:lineRule="auto"/>
              <w:jc w:val="both"/>
              <w:rPr>
                <w:rFonts w:eastAsia="Batang"/>
                <w:lang w:val="en-US"/>
              </w:rPr>
            </w:pPr>
          </w:p>
          <w:p w14:paraId="2182C146" w14:textId="77777777" w:rsidR="00FB5F4E" w:rsidRPr="00FB5F4E" w:rsidRDefault="00FB5F4E" w:rsidP="005240AE">
            <w:pPr>
              <w:autoSpaceDN w:val="0"/>
              <w:spacing w:afterLines="20" w:after="48"/>
              <w:jc w:val="both"/>
              <w:rPr>
                <w:rFonts w:eastAsia="SimSun"/>
                <w:b/>
                <w:i/>
                <w:iCs/>
                <w:highlight w:val="green"/>
                <w:lang w:val="en-US" w:eastAsia="x-none"/>
              </w:rPr>
            </w:pPr>
            <w:r w:rsidRPr="00FB5F4E">
              <w:rPr>
                <w:rFonts w:eastAsia="Batang"/>
                <w:b/>
                <w:bCs/>
                <w:highlight w:val="green"/>
              </w:rPr>
              <w:t>Agreement</w:t>
            </w:r>
            <w:r w:rsidRPr="00FB5F4E">
              <w:rPr>
                <w:rFonts w:eastAsia="SimSun"/>
                <w:b/>
                <w:i/>
                <w:iCs/>
                <w:highlight w:val="green"/>
                <w:lang w:eastAsia="x-none"/>
              </w:rPr>
              <w:t xml:space="preserve"> </w:t>
            </w:r>
          </w:p>
          <w:p w14:paraId="303D5985" w14:textId="77777777" w:rsidR="00FB5F4E" w:rsidRPr="00FB5F4E" w:rsidRDefault="00FB5F4E" w:rsidP="005240AE">
            <w:pPr>
              <w:autoSpaceDE w:val="0"/>
              <w:autoSpaceDN w:val="0"/>
              <w:adjustRightInd w:val="0"/>
              <w:snapToGrid w:val="0"/>
              <w:spacing w:after="0"/>
              <w:jc w:val="both"/>
              <w:rPr>
                <w:rFonts w:eastAsia="SimSun"/>
                <w:color w:val="000000"/>
                <w:lang w:val="en-US"/>
              </w:rPr>
            </w:pPr>
            <w:r w:rsidRPr="00FB5F4E">
              <w:rPr>
                <w:rFonts w:eastAsia="SimSun"/>
                <w:color w:val="000000"/>
                <w:lang w:val="en-US"/>
              </w:rPr>
              <w:t xml:space="preserve">Send an LS to RAN2 and RAN4 with the content including: </w:t>
            </w:r>
            <w:r w:rsidRPr="00FB5F4E">
              <w:rPr>
                <w:rFonts w:eastAsia="SimSun"/>
                <w:color w:val="000000"/>
                <w:lang w:val="en-US" w:eastAsia="zh-CN"/>
              </w:rPr>
              <w:t xml:space="preserve"> </w:t>
            </w:r>
          </w:p>
          <w:p w14:paraId="3CA01AE8" w14:textId="77777777" w:rsidR="00FB5F4E" w:rsidRPr="00FB5F4E" w:rsidRDefault="00FB5F4E" w:rsidP="005240AE">
            <w:pPr>
              <w:numPr>
                <w:ilvl w:val="0"/>
                <w:numId w:val="10"/>
              </w:numPr>
              <w:autoSpaceDE w:val="0"/>
              <w:autoSpaceDN w:val="0"/>
              <w:adjustRightInd w:val="0"/>
              <w:snapToGrid w:val="0"/>
              <w:spacing w:after="0"/>
              <w:contextualSpacing/>
              <w:jc w:val="both"/>
              <w:rPr>
                <w:bCs/>
                <w:color w:val="000000"/>
                <w:lang w:eastAsia="en-GB"/>
              </w:rPr>
            </w:pPr>
            <w:r w:rsidRPr="00FB5F4E">
              <w:rPr>
                <w:bCs/>
                <w:color w:val="000000"/>
                <w:lang w:eastAsia="en-GB"/>
              </w:rPr>
              <w:t xml:space="preserve">The agreements made in RAN1#107-e for propagation delay compensation. </w:t>
            </w:r>
          </w:p>
          <w:p w14:paraId="65351D15" w14:textId="77777777" w:rsidR="00FB5F4E" w:rsidRPr="00FB5F4E" w:rsidRDefault="00FB5F4E" w:rsidP="005240AE">
            <w:pPr>
              <w:numPr>
                <w:ilvl w:val="0"/>
                <w:numId w:val="10"/>
              </w:numPr>
              <w:autoSpaceDE w:val="0"/>
              <w:autoSpaceDN w:val="0"/>
              <w:adjustRightInd w:val="0"/>
              <w:snapToGrid w:val="0"/>
              <w:spacing w:after="0"/>
              <w:contextualSpacing/>
              <w:jc w:val="both"/>
              <w:rPr>
                <w:bCs/>
                <w:color w:val="000000"/>
                <w:lang w:eastAsia="en-GB"/>
              </w:rPr>
            </w:pPr>
            <w:r w:rsidRPr="00FB5F4E">
              <w:rPr>
                <w:bCs/>
                <w:color w:val="000000"/>
                <w:lang w:eastAsia="en-GB"/>
              </w:rPr>
              <w:t xml:space="preserve">Ask RAN4 to define the following for RTT-based propagation delay compensation:  </w:t>
            </w:r>
          </w:p>
          <w:p w14:paraId="41A9908F" w14:textId="77777777" w:rsidR="00FB5F4E" w:rsidRPr="00FB5F4E" w:rsidRDefault="00FB5F4E" w:rsidP="005240AE">
            <w:pPr>
              <w:numPr>
                <w:ilvl w:val="1"/>
                <w:numId w:val="10"/>
              </w:numPr>
              <w:autoSpaceDE w:val="0"/>
              <w:autoSpaceDN w:val="0"/>
              <w:adjustRightInd w:val="0"/>
              <w:snapToGrid w:val="0"/>
              <w:spacing w:after="0" w:line="256" w:lineRule="auto"/>
              <w:jc w:val="both"/>
              <w:rPr>
                <w:rFonts w:eastAsia="SimSun"/>
                <w:bCs/>
                <w:color w:val="000000"/>
                <w:lang w:val="en-US" w:eastAsia="zh-CN"/>
              </w:rPr>
            </w:pPr>
            <w:r w:rsidRPr="00FB5F4E">
              <w:rPr>
                <w:rFonts w:eastAsia="SimSun"/>
                <w:color w:val="000000"/>
                <w:lang w:val="en-US" w:eastAsia="zh-CN"/>
              </w:rPr>
              <w:t>UE Rx-Tx time difference measurement accuracy based on CSI-RS for tracking</w:t>
            </w:r>
          </w:p>
          <w:p w14:paraId="211BA74D" w14:textId="77777777" w:rsidR="00FB5F4E" w:rsidRPr="00FB5F4E" w:rsidRDefault="00FB5F4E" w:rsidP="005240AE">
            <w:pPr>
              <w:numPr>
                <w:ilvl w:val="1"/>
                <w:numId w:val="10"/>
              </w:numPr>
              <w:autoSpaceDE w:val="0"/>
              <w:autoSpaceDN w:val="0"/>
              <w:adjustRightInd w:val="0"/>
              <w:snapToGrid w:val="0"/>
              <w:spacing w:after="0" w:line="256" w:lineRule="auto"/>
              <w:jc w:val="both"/>
              <w:rPr>
                <w:rFonts w:eastAsia="SimSun"/>
                <w:color w:val="000000"/>
                <w:lang w:val="en-US" w:eastAsia="zh-CN"/>
              </w:rPr>
            </w:pPr>
            <w:r w:rsidRPr="00FB5F4E">
              <w:rPr>
                <w:rFonts w:eastAsia="SimSun"/>
                <w:color w:val="000000"/>
                <w:lang w:val="en-US" w:eastAsia="zh-CN"/>
              </w:rPr>
              <w:t>UE Rx-Tx time difference measurement accuracy based on PRS (including reuse existing spec if appropriate)</w:t>
            </w:r>
          </w:p>
          <w:p w14:paraId="3CEDF749" w14:textId="77777777" w:rsidR="00FB5F4E" w:rsidRPr="00FB5F4E" w:rsidRDefault="00FB5F4E" w:rsidP="005240AE">
            <w:pPr>
              <w:numPr>
                <w:ilvl w:val="1"/>
                <w:numId w:val="10"/>
              </w:numPr>
              <w:autoSpaceDE w:val="0"/>
              <w:autoSpaceDN w:val="0"/>
              <w:adjustRightInd w:val="0"/>
              <w:snapToGrid w:val="0"/>
              <w:spacing w:after="0" w:line="256" w:lineRule="auto"/>
              <w:jc w:val="both"/>
              <w:rPr>
                <w:rFonts w:eastAsia="SimSun"/>
                <w:color w:val="000000"/>
                <w:lang w:val="en-US" w:eastAsia="zh-CN"/>
              </w:rPr>
            </w:pPr>
            <w:r w:rsidRPr="00FB5F4E">
              <w:rPr>
                <w:rFonts w:eastAsia="SimSun"/>
                <w:color w:val="000000"/>
                <w:lang w:val="en-US" w:eastAsia="zh-CN"/>
              </w:rPr>
              <w:t>gNB Rx-Tx time difference absolute accuracy</w:t>
            </w:r>
            <w:r w:rsidRPr="00FB5F4E">
              <w:rPr>
                <w:rFonts w:eastAsia="SimSun"/>
                <w:bCs/>
                <w:color w:val="000000"/>
                <w:lang w:val="en-US" w:eastAsia="zh-CN"/>
              </w:rPr>
              <w:fldChar w:fldCharType="begin"/>
            </w:r>
            <w:r w:rsidRPr="00FB5F4E">
              <w:rPr>
                <w:rFonts w:eastAsia="SimSun"/>
                <w:bCs/>
                <w:color w:val="000000"/>
                <w:lang w:val="en-US" w:eastAsia="zh-CN"/>
              </w:rPr>
              <w:instrText xml:space="preserve"> QUOTE </w:instrText>
            </w:r>
            <w:r w:rsidRPr="00FB5F4E">
              <w:rPr>
                <w:rFonts w:eastAsia="SimSun"/>
                <w:color w:val="000000"/>
                <w:lang w:val="en-US" w:eastAsia="zh-CN"/>
              </w:rPr>
              <w:instrText>errorgNB,RxTxDiff</w:instrText>
            </w:r>
            <w:r w:rsidRPr="00FB5F4E">
              <w:rPr>
                <w:rFonts w:eastAsia="SimSun"/>
                <w:bCs/>
                <w:color w:val="000000"/>
                <w:lang w:val="en-US" w:eastAsia="zh-CN"/>
              </w:rPr>
              <w:instrText xml:space="preserve"> </w:instrText>
            </w:r>
            <w:r w:rsidRPr="00FB5F4E">
              <w:rPr>
                <w:rFonts w:eastAsia="SimSun"/>
                <w:color w:val="000000"/>
                <w:lang w:val="en-US" w:eastAsia="zh-CN"/>
              </w:rPr>
              <w:fldChar w:fldCharType="end"/>
            </w:r>
            <w:r w:rsidRPr="00FB5F4E">
              <w:rPr>
                <w:rFonts w:eastAsia="SimSun"/>
                <w:i/>
                <w:color w:val="000000"/>
                <w:lang w:val="en-US" w:eastAsia="zh-CN"/>
              </w:rPr>
              <w:t xml:space="preserve"> </w:t>
            </w:r>
            <w:r w:rsidRPr="00FB5F4E">
              <w:rPr>
                <w:rFonts w:eastAsia="SimSun"/>
                <w:bCs/>
                <w:color w:val="000000"/>
                <w:lang w:val="en-US" w:eastAsia="zh-CN"/>
              </w:rPr>
              <w:t xml:space="preserve">based on SRS </w:t>
            </w:r>
            <w:r w:rsidRPr="00FB5F4E">
              <w:rPr>
                <w:rFonts w:eastAsia="SimSun"/>
                <w:color w:val="000000"/>
                <w:lang w:val="en-US" w:eastAsia="zh-CN"/>
              </w:rPr>
              <w:t>(including reuse existing spec if appropriate)</w:t>
            </w:r>
          </w:p>
          <w:p w14:paraId="10347BD9" w14:textId="77777777" w:rsidR="00FB5F4E" w:rsidRPr="00FB5F4E" w:rsidRDefault="00FB5F4E" w:rsidP="005240AE">
            <w:pPr>
              <w:numPr>
                <w:ilvl w:val="0"/>
                <w:numId w:val="10"/>
              </w:numPr>
              <w:autoSpaceDE w:val="0"/>
              <w:autoSpaceDN w:val="0"/>
              <w:adjustRightInd w:val="0"/>
              <w:snapToGrid w:val="0"/>
              <w:spacing w:after="0"/>
              <w:contextualSpacing/>
              <w:jc w:val="both"/>
              <w:rPr>
                <w:bCs/>
                <w:color w:val="000000"/>
              </w:rPr>
            </w:pPr>
            <w:r w:rsidRPr="00FB5F4E">
              <w:rPr>
                <w:bCs/>
                <w:color w:val="000000"/>
                <w:lang w:eastAsia="en-GB"/>
              </w:rPr>
              <w:t>Inform RAN4 that enhanced TA-based PDC with reduced Te and enhanced TA command granularity is precluded in RAN1.</w:t>
            </w:r>
          </w:p>
          <w:p w14:paraId="487FDC85" w14:textId="77777777" w:rsidR="00FB5F4E" w:rsidRPr="00FB5F4E" w:rsidRDefault="00FB5F4E" w:rsidP="005240AE">
            <w:pPr>
              <w:autoSpaceDE w:val="0"/>
              <w:autoSpaceDN w:val="0"/>
              <w:adjustRightInd w:val="0"/>
              <w:snapToGrid w:val="0"/>
              <w:spacing w:after="120" w:line="256" w:lineRule="auto"/>
              <w:jc w:val="both"/>
              <w:rPr>
                <w:rFonts w:eastAsia="Batang"/>
                <w:lang w:val="en-US"/>
              </w:rPr>
            </w:pPr>
          </w:p>
          <w:p w14:paraId="6C3BA5FE" w14:textId="77777777" w:rsidR="00FB5F4E" w:rsidRPr="00FB5F4E" w:rsidRDefault="00FB5F4E" w:rsidP="005240AE">
            <w:pPr>
              <w:autoSpaceDE w:val="0"/>
              <w:autoSpaceDN w:val="0"/>
              <w:adjustRightInd w:val="0"/>
              <w:snapToGrid w:val="0"/>
              <w:spacing w:after="120"/>
              <w:jc w:val="both"/>
              <w:rPr>
                <w:rFonts w:eastAsia="SimSun"/>
                <w:b/>
                <w:bCs/>
                <w:iCs/>
                <w:lang w:val="en-US" w:eastAsia="x-none"/>
              </w:rPr>
            </w:pPr>
            <w:r w:rsidRPr="00FB5F4E">
              <w:rPr>
                <w:rFonts w:eastAsia="SimSun"/>
                <w:b/>
                <w:bCs/>
                <w:iCs/>
                <w:lang w:val="en-US" w:eastAsia="x-none"/>
              </w:rPr>
              <w:t>Conclusion</w:t>
            </w:r>
          </w:p>
          <w:p w14:paraId="475BECA5" w14:textId="77777777" w:rsidR="00FB5F4E" w:rsidRPr="00FB5F4E" w:rsidRDefault="00FB5F4E" w:rsidP="005240AE">
            <w:pPr>
              <w:autoSpaceDE w:val="0"/>
              <w:autoSpaceDN w:val="0"/>
              <w:adjustRightInd w:val="0"/>
              <w:snapToGrid w:val="0"/>
              <w:spacing w:after="0"/>
              <w:jc w:val="both"/>
              <w:rPr>
                <w:rFonts w:eastAsia="SimSun"/>
                <w:bCs/>
                <w:color w:val="000000"/>
                <w:lang w:val="en-US" w:eastAsia="zh-CN"/>
              </w:rPr>
            </w:pPr>
            <w:r w:rsidRPr="00FB5F4E">
              <w:rPr>
                <w:rFonts w:eastAsia="SimSun"/>
                <w:bCs/>
                <w:color w:val="000000"/>
                <w:lang w:val="en-US" w:eastAsia="zh-CN"/>
              </w:rPr>
              <w:t xml:space="preserve">For RTT-based PDC, it is assumed that the transmission of DL TRS/PRS, UL SRS and reference time information are associated with a same TRP. </w:t>
            </w:r>
          </w:p>
          <w:p w14:paraId="2C925B05" w14:textId="77777777" w:rsidR="00FB5F4E" w:rsidRPr="00FB5F4E" w:rsidRDefault="00FB5F4E" w:rsidP="005240AE">
            <w:pPr>
              <w:numPr>
                <w:ilvl w:val="0"/>
                <w:numId w:val="10"/>
              </w:numPr>
              <w:autoSpaceDE w:val="0"/>
              <w:autoSpaceDN w:val="0"/>
              <w:adjustRightInd w:val="0"/>
              <w:snapToGrid w:val="0"/>
              <w:spacing w:after="0"/>
              <w:contextualSpacing/>
              <w:jc w:val="both"/>
              <w:rPr>
                <w:bCs/>
                <w:i/>
                <w:iCs/>
                <w:color w:val="000000"/>
                <w:lang w:eastAsia="x-none"/>
              </w:rPr>
            </w:pPr>
            <w:r w:rsidRPr="00FB5F4E">
              <w:rPr>
                <w:bCs/>
                <w:color w:val="000000"/>
                <w:lang w:eastAsia="en-GB"/>
              </w:rPr>
              <w:t>Note: No RAN1 specification impact is expected for this conclusion</w:t>
            </w:r>
          </w:p>
          <w:p w14:paraId="05BAA9EF" w14:textId="77777777" w:rsidR="00FB5F4E" w:rsidRPr="00FB5F4E" w:rsidRDefault="00FB5F4E" w:rsidP="005240AE">
            <w:pPr>
              <w:autoSpaceDE w:val="0"/>
              <w:autoSpaceDN w:val="0"/>
              <w:adjustRightInd w:val="0"/>
              <w:snapToGrid w:val="0"/>
              <w:spacing w:after="0"/>
              <w:jc w:val="both"/>
              <w:rPr>
                <w:rFonts w:eastAsia="SimSun"/>
                <w:i/>
                <w:iCs/>
                <w:lang w:val="en-US" w:eastAsia="x-none"/>
              </w:rPr>
            </w:pPr>
          </w:p>
          <w:p w14:paraId="6515E481" w14:textId="77777777" w:rsidR="00FB5F4E" w:rsidRPr="00FB5F4E" w:rsidRDefault="00FB5F4E" w:rsidP="005240AE">
            <w:pPr>
              <w:autoSpaceDN w:val="0"/>
              <w:spacing w:afterLines="20" w:after="48"/>
              <w:jc w:val="both"/>
              <w:rPr>
                <w:rFonts w:eastAsia="Batang"/>
                <w:b/>
                <w:bCs/>
                <w:highlight w:val="green"/>
              </w:rPr>
            </w:pPr>
            <w:r w:rsidRPr="00FB5F4E">
              <w:rPr>
                <w:rFonts w:eastAsia="Batang"/>
                <w:b/>
                <w:bCs/>
                <w:highlight w:val="green"/>
              </w:rPr>
              <w:t>Agreement</w:t>
            </w:r>
          </w:p>
          <w:p w14:paraId="13EC08ED" w14:textId="77777777" w:rsidR="00FB5F4E" w:rsidRPr="00FB5F4E" w:rsidRDefault="00FB5F4E" w:rsidP="005240AE">
            <w:pPr>
              <w:autoSpaceDE w:val="0"/>
              <w:autoSpaceDN w:val="0"/>
              <w:adjustRightInd w:val="0"/>
              <w:snapToGrid w:val="0"/>
              <w:spacing w:after="120"/>
              <w:jc w:val="both"/>
              <w:rPr>
                <w:rFonts w:eastAsia="SimSun"/>
                <w:i/>
                <w:iCs/>
                <w:lang w:val="en-US" w:eastAsia="x-none"/>
              </w:rPr>
            </w:pPr>
            <w:r w:rsidRPr="00FB5F4E">
              <w:rPr>
                <w:rFonts w:eastAsia="SimSun"/>
                <w:lang w:val="en-US" w:eastAsia="zh-CN"/>
              </w:rPr>
              <w:t xml:space="preserve">For RTT-based propagation delay compensation, the </w:t>
            </w:r>
            <w:r w:rsidRPr="00FB5F4E">
              <w:rPr>
                <w:rFonts w:eastAsia="SimSun"/>
                <w:bCs/>
                <w:lang w:val="en-US"/>
              </w:rPr>
              <w:t>Rx-Tx time difference is reported via RRC signaling.</w:t>
            </w:r>
          </w:p>
          <w:p w14:paraId="611F1A54" w14:textId="77777777" w:rsidR="00FB5F4E" w:rsidRPr="00FB5F4E" w:rsidRDefault="00FB5F4E" w:rsidP="005240AE">
            <w:pPr>
              <w:autoSpaceDE w:val="0"/>
              <w:autoSpaceDN w:val="0"/>
              <w:adjustRightInd w:val="0"/>
              <w:snapToGrid w:val="0"/>
              <w:spacing w:after="0"/>
              <w:jc w:val="both"/>
              <w:rPr>
                <w:rFonts w:eastAsia="SimSun"/>
                <w:i/>
                <w:iCs/>
                <w:lang w:val="en-US" w:eastAsia="x-none"/>
              </w:rPr>
            </w:pPr>
          </w:p>
          <w:p w14:paraId="0141E522" w14:textId="77777777" w:rsidR="00FB5F4E" w:rsidRPr="00FB5F4E" w:rsidRDefault="00FB5F4E" w:rsidP="005240AE">
            <w:pPr>
              <w:autoSpaceDE w:val="0"/>
              <w:autoSpaceDN w:val="0"/>
              <w:adjustRightInd w:val="0"/>
              <w:snapToGrid w:val="0"/>
              <w:spacing w:after="60"/>
              <w:jc w:val="both"/>
              <w:rPr>
                <w:rFonts w:eastAsia="SimSun"/>
                <w:b/>
                <w:bCs/>
                <w:iCs/>
                <w:lang w:val="en-US" w:eastAsia="x-none"/>
              </w:rPr>
            </w:pPr>
            <w:r w:rsidRPr="00FB5F4E">
              <w:rPr>
                <w:rFonts w:eastAsia="SimSun"/>
                <w:b/>
                <w:bCs/>
                <w:iCs/>
                <w:lang w:val="en-US" w:eastAsia="x-none"/>
              </w:rPr>
              <w:t>Conclusion</w:t>
            </w:r>
          </w:p>
          <w:p w14:paraId="7179FE4E" w14:textId="57FFE9F2" w:rsidR="00193BB2" w:rsidRDefault="00FB5F4E" w:rsidP="005240AE">
            <w:pPr>
              <w:jc w:val="both"/>
            </w:pPr>
            <w:r w:rsidRPr="00FB5F4E">
              <w:rPr>
                <w:rFonts w:eastAsia="SimSun"/>
                <w:bCs/>
                <w:lang w:val="en-US" w:eastAsia="zh-CN"/>
              </w:rPr>
              <w:t>The reporting range of Rx-Tx time difference measurement for RTT-based PDC is up to RAN4.</w:t>
            </w:r>
          </w:p>
        </w:tc>
      </w:tr>
    </w:tbl>
    <w:p w14:paraId="77296AA9" w14:textId="77777777" w:rsidR="00193BB2" w:rsidRDefault="00193BB2" w:rsidP="005240AE">
      <w:pPr>
        <w:jc w:val="both"/>
      </w:pPr>
    </w:p>
    <w:p w14:paraId="60DF9E66" w14:textId="20BDE1A9" w:rsidR="00F11A14" w:rsidRDefault="00193BB2" w:rsidP="005240AE">
      <w:pPr>
        <w:jc w:val="both"/>
      </w:pPr>
      <w:r>
        <w:t xml:space="preserve">In </w:t>
      </w:r>
      <w:r w:rsidR="00F11A14">
        <w:t>light of the latest status of both RAN1 and RAN2, we aim to discuss the following topics in this paper:</w:t>
      </w:r>
      <w:r>
        <w:t xml:space="preserve"> </w:t>
      </w:r>
    </w:p>
    <w:p w14:paraId="574A36BE" w14:textId="6CE17A64" w:rsidR="0045745A" w:rsidRPr="00F954A7" w:rsidRDefault="0045745A" w:rsidP="005240AE">
      <w:pPr>
        <w:pStyle w:val="ListParagraph"/>
        <w:numPr>
          <w:ilvl w:val="0"/>
          <w:numId w:val="13"/>
        </w:numPr>
        <w:jc w:val="both"/>
        <w:rPr>
          <w:sz w:val="20"/>
          <w:szCs w:val="20"/>
        </w:rPr>
      </w:pPr>
      <w:r>
        <w:rPr>
          <w:sz w:val="20"/>
          <w:szCs w:val="20"/>
        </w:rPr>
        <w:t xml:space="preserve">How to design </w:t>
      </w:r>
      <w:r w:rsidRPr="008102B7">
        <w:rPr>
          <w:sz w:val="20"/>
          <w:szCs w:val="20"/>
        </w:rPr>
        <w:t>the Rx-Tx measurement reporting framework for RTT based PDC</w:t>
      </w:r>
      <w:r>
        <w:rPr>
          <w:sz w:val="20"/>
          <w:szCs w:val="20"/>
        </w:rPr>
        <w:t>, and</w:t>
      </w:r>
    </w:p>
    <w:p w14:paraId="7E47E21F" w14:textId="0340E73C" w:rsidR="00F11A14" w:rsidRDefault="00F11A14" w:rsidP="005240AE">
      <w:pPr>
        <w:pStyle w:val="ListParagraph"/>
        <w:numPr>
          <w:ilvl w:val="0"/>
          <w:numId w:val="13"/>
        </w:numPr>
        <w:jc w:val="both"/>
        <w:rPr>
          <w:sz w:val="20"/>
          <w:szCs w:val="20"/>
        </w:rPr>
      </w:pPr>
      <w:r>
        <w:rPr>
          <w:sz w:val="20"/>
          <w:szCs w:val="20"/>
        </w:rPr>
        <w:t>H</w:t>
      </w:r>
      <w:r w:rsidR="00193BB2" w:rsidRPr="00F954A7">
        <w:rPr>
          <w:sz w:val="20"/>
          <w:szCs w:val="20"/>
        </w:rPr>
        <w:t xml:space="preserve">ow to design the activation and deactivation </w:t>
      </w:r>
      <w:r w:rsidR="0045745A">
        <w:rPr>
          <w:sz w:val="20"/>
          <w:szCs w:val="20"/>
        </w:rPr>
        <w:t xml:space="preserve">mechanism </w:t>
      </w:r>
      <w:r w:rsidR="00193BB2" w:rsidRPr="00F954A7">
        <w:rPr>
          <w:sz w:val="20"/>
          <w:szCs w:val="20"/>
        </w:rPr>
        <w:t xml:space="preserve">for UE-side PDC </w:t>
      </w:r>
    </w:p>
    <w:p w14:paraId="0DAA9B45" w14:textId="40EF34AB" w:rsidR="00E7085F" w:rsidRDefault="00A209D6" w:rsidP="005240AE">
      <w:pPr>
        <w:pStyle w:val="Heading1"/>
        <w:jc w:val="both"/>
      </w:pPr>
      <w:r w:rsidRPr="006E13D1">
        <w:t>2</w:t>
      </w:r>
      <w:r w:rsidRPr="006E13D1">
        <w:tab/>
      </w:r>
      <w:r w:rsidR="00193BB2">
        <w:t>Discussion</w:t>
      </w:r>
    </w:p>
    <w:p w14:paraId="675C1560" w14:textId="2BC23601" w:rsidR="001079F2" w:rsidRDefault="006F7C1D" w:rsidP="005240AE">
      <w:pPr>
        <w:jc w:val="both"/>
      </w:pPr>
      <w:r>
        <w:t>We note that RAN1 has agreed to support t</w:t>
      </w:r>
      <w:r w:rsidR="00193BB2">
        <w:t>wo PDC methods</w:t>
      </w:r>
      <w:r w:rsidR="006C5199">
        <w:t>, namely</w:t>
      </w:r>
      <w:r w:rsidR="00B470B7">
        <w:t xml:space="preserve"> one based on</w:t>
      </w:r>
      <w:r w:rsidR="006C5199">
        <w:t xml:space="preserve"> legacy TA and</w:t>
      </w:r>
      <w:r w:rsidR="00B470B7">
        <w:t xml:space="preserve"> another based on</w:t>
      </w:r>
      <w:r w:rsidR="006C5199">
        <w:t xml:space="preserve"> R</w:t>
      </w:r>
      <w:r w:rsidR="00B470B7">
        <w:t>x</w:t>
      </w:r>
      <w:r w:rsidR="00811661">
        <w:t>-</w:t>
      </w:r>
      <w:r w:rsidR="00B470B7">
        <w:t>Tx measurements</w:t>
      </w:r>
      <w:r w:rsidR="00CE380D">
        <w:t xml:space="preserve">. While it is clear that </w:t>
      </w:r>
      <w:r w:rsidR="001248F3">
        <w:t xml:space="preserve">the one based on Rx-Tx measurement is the most accurate of the two, it is also requires additional reference signals being exchanged, and hence the support of both makes sense to support </w:t>
      </w:r>
      <w:r w:rsidR="00ED0A14">
        <w:t>use cases with difference accuracy requirements while minimizing the radio interface overhead involved in PD estimation</w:t>
      </w:r>
      <w:r w:rsidR="0016326B">
        <w:t>. Therefore</w:t>
      </w:r>
      <w:r w:rsidR="00280617">
        <w:t>,</w:t>
      </w:r>
      <w:r w:rsidR="0016326B">
        <w:t xml:space="preserve"> the activation / deactivation framework will need to accommodate </w:t>
      </w:r>
      <w:r w:rsidR="00CD30A8">
        <w:t>for both methods</w:t>
      </w:r>
      <w:r w:rsidR="0016326B">
        <w:t>.</w:t>
      </w:r>
    </w:p>
    <w:p w14:paraId="698DC3D7" w14:textId="265FCB6E" w:rsidR="00122B9A" w:rsidRPr="00115CB2" w:rsidRDefault="00122B9A" w:rsidP="005240AE">
      <w:pPr>
        <w:jc w:val="both"/>
        <w:rPr>
          <w:b/>
        </w:rPr>
      </w:pPr>
      <w:r w:rsidRPr="003C6236">
        <w:rPr>
          <w:b/>
          <w:bCs/>
        </w:rPr>
        <w:t>Observation 1</w:t>
      </w:r>
      <w:r w:rsidRPr="00115CB2">
        <w:rPr>
          <w:b/>
        </w:rPr>
        <w:t xml:space="preserve">: RAN2 to consider two PDC methods as per RAN1 </w:t>
      </w:r>
      <w:r w:rsidR="003C6236" w:rsidRPr="00115CB2">
        <w:rPr>
          <w:b/>
        </w:rPr>
        <w:t>agreements.</w:t>
      </w:r>
    </w:p>
    <w:p w14:paraId="2C7D6310" w14:textId="30AFC94C" w:rsidR="0012460F" w:rsidRDefault="001079F2" w:rsidP="005240AE">
      <w:pPr>
        <w:jc w:val="both"/>
      </w:pPr>
      <w:r>
        <w:t>I</w:t>
      </w:r>
      <w:r w:rsidR="002B6AB6">
        <w:t xml:space="preserve">t </w:t>
      </w:r>
      <w:r w:rsidR="001A1AB6">
        <w:t>remains open in RAN2 whether or not</w:t>
      </w:r>
      <w:r w:rsidR="00F11A14">
        <w:t xml:space="preserve"> specification effort is needed</w:t>
      </w:r>
      <w:r w:rsidR="001A1AB6">
        <w:t xml:space="preserve"> to support gNB PD pre</w:t>
      </w:r>
      <w:r w:rsidR="00280617">
        <w:t>-</w:t>
      </w:r>
      <w:r w:rsidR="001A1AB6">
        <w:t xml:space="preserve">compensation or </w:t>
      </w:r>
      <w:r w:rsidR="00F11A14">
        <w:t xml:space="preserve">RAN2 should </w:t>
      </w:r>
      <w:r w:rsidR="001A1AB6">
        <w:t xml:space="preserve">only </w:t>
      </w:r>
      <w:r w:rsidR="00F11A14">
        <w:t xml:space="preserve">focus on </w:t>
      </w:r>
      <w:r w:rsidR="001A1AB6">
        <w:t>UE-side PDC</w:t>
      </w:r>
      <w:r w:rsidR="00F11A14">
        <w:t>.</w:t>
      </w:r>
      <w:r>
        <w:t xml:space="preserve"> </w:t>
      </w:r>
      <w:r w:rsidR="00E425B3">
        <w:t>T</w:t>
      </w:r>
      <w:r>
        <w:t xml:space="preserve">here are pros and cons </w:t>
      </w:r>
      <w:r w:rsidR="00E425B3">
        <w:t xml:space="preserve">associated </w:t>
      </w:r>
      <w:r>
        <w:t>to both methods</w:t>
      </w:r>
      <w:r w:rsidR="00E425B3">
        <w:t>, and</w:t>
      </w:r>
      <w:r>
        <w:t xml:space="preserve"> </w:t>
      </w:r>
      <w:r w:rsidR="00E425B3">
        <w:t xml:space="preserve">this </w:t>
      </w:r>
      <w:r>
        <w:t xml:space="preserve">is </w:t>
      </w:r>
      <w:r w:rsidR="00E425B3">
        <w:t xml:space="preserve">also </w:t>
      </w:r>
      <w:r>
        <w:t xml:space="preserve">dependent on the PDC method </w:t>
      </w:r>
      <w:r w:rsidR="00E425B3">
        <w:t>to be appli</w:t>
      </w:r>
      <w:r>
        <w:t xml:space="preserve">ed. </w:t>
      </w:r>
      <w:r w:rsidR="00E425B3">
        <w:t>For</w:t>
      </w:r>
      <w:r w:rsidR="00D03CAE">
        <w:t xml:space="preserve"> </w:t>
      </w:r>
      <w:r w:rsidR="006D34EE">
        <w:t>gNB pre-compensation</w:t>
      </w:r>
      <w:r w:rsidR="00E425B3">
        <w:t>, there are two commonly known drawbacks</w:t>
      </w:r>
      <w:r w:rsidR="0012460F">
        <w:t>:</w:t>
      </w:r>
    </w:p>
    <w:p w14:paraId="508BEDB0" w14:textId="59B4474E" w:rsidR="0012460F" w:rsidRPr="0012460F" w:rsidRDefault="0012460F" w:rsidP="005240AE">
      <w:pPr>
        <w:pStyle w:val="ListParagraph"/>
        <w:numPr>
          <w:ilvl w:val="0"/>
          <w:numId w:val="19"/>
        </w:numPr>
        <w:jc w:val="both"/>
      </w:pPr>
      <w:r>
        <w:rPr>
          <w:sz w:val="20"/>
          <w:szCs w:val="20"/>
        </w:rPr>
        <w:t>In</w:t>
      </w:r>
      <w:r w:rsidR="006D34EE" w:rsidRPr="0012460F">
        <w:rPr>
          <w:sz w:val="20"/>
          <w:szCs w:val="20"/>
        </w:rPr>
        <w:t xml:space="preserve"> most cases </w:t>
      </w:r>
      <w:r>
        <w:rPr>
          <w:sz w:val="20"/>
          <w:szCs w:val="20"/>
        </w:rPr>
        <w:t xml:space="preserve">it will </w:t>
      </w:r>
      <w:r w:rsidR="006D34EE" w:rsidRPr="0012460F">
        <w:rPr>
          <w:sz w:val="20"/>
          <w:szCs w:val="20"/>
        </w:rPr>
        <w:t>force the gNB to deliver RTI in a unicast manner</w:t>
      </w:r>
      <w:r w:rsidR="00CC5C85">
        <w:rPr>
          <w:sz w:val="20"/>
          <w:szCs w:val="20"/>
        </w:rPr>
        <w:t>. It is anticipated that it is only in special conditions that it will make sense for the gNB to use SIB9</w:t>
      </w:r>
      <w:r w:rsidR="007C7AD4">
        <w:rPr>
          <w:sz w:val="20"/>
          <w:szCs w:val="20"/>
        </w:rPr>
        <w:t xml:space="preserve"> with gNB based </w:t>
      </w:r>
      <w:r w:rsidR="001A3A3A">
        <w:rPr>
          <w:sz w:val="20"/>
          <w:szCs w:val="20"/>
        </w:rPr>
        <w:t xml:space="preserve">PDC. </w:t>
      </w:r>
    </w:p>
    <w:p w14:paraId="496047A4" w14:textId="5D80F7E9" w:rsidR="00B31DBE" w:rsidRPr="001837DC" w:rsidRDefault="0012460F" w:rsidP="005240AE">
      <w:pPr>
        <w:pStyle w:val="ListParagraph"/>
        <w:numPr>
          <w:ilvl w:val="0"/>
          <w:numId w:val="19"/>
        </w:numPr>
        <w:jc w:val="both"/>
      </w:pPr>
      <w:r>
        <w:rPr>
          <w:sz w:val="20"/>
          <w:szCs w:val="20"/>
        </w:rPr>
        <w:t>It will</w:t>
      </w:r>
      <w:r w:rsidR="0026464F">
        <w:rPr>
          <w:sz w:val="20"/>
          <w:szCs w:val="20"/>
        </w:rPr>
        <w:t xml:space="preserve"> </w:t>
      </w:r>
      <w:r w:rsidR="0026464F" w:rsidRPr="0012460F">
        <w:rPr>
          <w:sz w:val="20"/>
          <w:szCs w:val="20"/>
        </w:rPr>
        <w:t xml:space="preserve">cause additional </w:t>
      </w:r>
      <w:r w:rsidR="000F3948" w:rsidRPr="0012460F">
        <w:rPr>
          <w:sz w:val="20"/>
          <w:szCs w:val="20"/>
        </w:rPr>
        <w:t xml:space="preserve">air interface signalling </w:t>
      </w:r>
      <w:r w:rsidR="007E6C21">
        <w:rPr>
          <w:sz w:val="20"/>
          <w:szCs w:val="20"/>
        </w:rPr>
        <w:t>that might even be</w:t>
      </w:r>
      <w:r w:rsidR="000F3948" w:rsidRPr="0012460F">
        <w:rPr>
          <w:sz w:val="20"/>
          <w:szCs w:val="20"/>
        </w:rPr>
        <w:t xml:space="preserve"> </w:t>
      </w:r>
      <w:r w:rsidR="0026464F" w:rsidRPr="0012460F">
        <w:rPr>
          <w:sz w:val="20"/>
          <w:szCs w:val="20"/>
        </w:rPr>
        <w:t>redundant information;</w:t>
      </w:r>
    </w:p>
    <w:p w14:paraId="52992C13" w14:textId="40848544" w:rsidR="00B31DBE" w:rsidRPr="001837DC" w:rsidRDefault="00B31DBE" w:rsidP="005240AE">
      <w:pPr>
        <w:pStyle w:val="ListParagraph"/>
        <w:numPr>
          <w:ilvl w:val="1"/>
          <w:numId w:val="19"/>
        </w:numPr>
        <w:jc w:val="both"/>
      </w:pPr>
      <w:r>
        <w:rPr>
          <w:sz w:val="20"/>
          <w:szCs w:val="20"/>
        </w:rPr>
        <w:t xml:space="preserve">Take </w:t>
      </w:r>
      <w:r w:rsidR="0026464F" w:rsidRPr="0012460F">
        <w:rPr>
          <w:sz w:val="20"/>
          <w:szCs w:val="20"/>
        </w:rPr>
        <w:t xml:space="preserve"> TA</w:t>
      </w:r>
      <w:r>
        <w:rPr>
          <w:sz w:val="20"/>
          <w:szCs w:val="20"/>
        </w:rPr>
        <w:t>-based pre-compensation</w:t>
      </w:r>
      <w:r w:rsidR="00E425B3">
        <w:rPr>
          <w:sz w:val="20"/>
          <w:szCs w:val="20"/>
        </w:rPr>
        <w:t xml:space="preserve"> as an example</w:t>
      </w:r>
      <w:r>
        <w:rPr>
          <w:sz w:val="20"/>
          <w:szCs w:val="20"/>
        </w:rPr>
        <w:t>, where</w:t>
      </w:r>
      <w:r w:rsidR="0026464F" w:rsidRPr="0012460F">
        <w:rPr>
          <w:sz w:val="20"/>
          <w:szCs w:val="20"/>
        </w:rPr>
        <w:t xml:space="preserve"> the gNB </w:t>
      </w:r>
      <w:r w:rsidR="00010D07" w:rsidRPr="0012460F">
        <w:rPr>
          <w:sz w:val="20"/>
          <w:szCs w:val="20"/>
        </w:rPr>
        <w:t xml:space="preserve">may use the tracked absolute TA for PDC but it will need to </w:t>
      </w:r>
      <w:r w:rsidR="007E6C21">
        <w:rPr>
          <w:sz w:val="20"/>
          <w:szCs w:val="20"/>
        </w:rPr>
        <w:t>continue</w:t>
      </w:r>
      <w:r w:rsidR="00E425B3">
        <w:rPr>
          <w:sz w:val="20"/>
          <w:szCs w:val="20"/>
        </w:rPr>
        <w:t xml:space="preserve"> the</w:t>
      </w:r>
      <w:r w:rsidR="007E6C21" w:rsidRPr="0012460F">
        <w:rPr>
          <w:sz w:val="20"/>
          <w:szCs w:val="20"/>
        </w:rPr>
        <w:t xml:space="preserve"> </w:t>
      </w:r>
      <w:r w:rsidR="00010D07" w:rsidRPr="0012460F">
        <w:rPr>
          <w:sz w:val="20"/>
          <w:szCs w:val="20"/>
        </w:rPr>
        <w:t xml:space="preserve">signalling </w:t>
      </w:r>
      <w:r w:rsidR="00E425B3">
        <w:rPr>
          <w:sz w:val="20"/>
          <w:szCs w:val="20"/>
        </w:rPr>
        <w:t xml:space="preserve">of </w:t>
      </w:r>
      <w:r w:rsidR="00010D07" w:rsidRPr="0012460F">
        <w:rPr>
          <w:sz w:val="20"/>
          <w:szCs w:val="20"/>
        </w:rPr>
        <w:t>TAC</w:t>
      </w:r>
      <w:r w:rsidR="007E6C21">
        <w:rPr>
          <w:sz w:val="20"/>
          <w:szCs w:val="20"/>
        </w:rPr>
        <w:t xml:space="preserve"> despite TA </w:t>
      </w:r>
      <w:r w:rsidR="00E425B3">
        <w:rPr>
          <w:sz w:val="20"/>
          <w:szCs w:val="20"/>
        </w:rPr>
        <w:t xml:space="preserve">is applied </w:t>
      </w:r>
      <w:r>
        <w:rPr>
          <w:sz w:val="20"/>
          <w:szCs w:val="20"/>
        </w:rPr>
        <w:t>for pre-compensation.</w:t>
      </w:r>
    </w:p>
    <w:p w14:paraId="308B40BD" w14:textId="004EAA44" w:rsidR="0012460F" w:rsidRPr="0012460F" w:rsidRDefault="00E425B3" w:rsidP="005240AE">
      <w:pPr>
        <w:pStyle w:val="ListParagraph"/>
        <w:numPr>
          <w:ilvl w:val="1"/>
          <w:numId w:val="19"/>
        </w:numPr>
        <w:jc w:val="both"/>
      </w:pPr>
      <w:r>
        <w:rPr>
          <w:sz w:val="20"/>
          <w:szCs w:val="20"/>
        </w:rPr>
        <w:t>F</w:t>
      </w:r>
      <w:r w:rsidR="00010D07" w:rsidRPr="0012460F">
        <w:rPr>
          <w:sz w:val="20"/>
          <w:szCs w:val="20"/>
        </w:rPr>
        <w:t xml:space="preserve">or RTT based PDC, </w:t>
      </w:r>
      <w:r w:rsidR="00954F99">
        <w:rPr>
          <w:sz w:val="20"/>
          <w:szCs w:val="20"/>
        </w:rPr>
        <w:t xml:space="preserve">where </w:t>
      </w:r>
      <w:r w:rsidR="00010D07" w:rsidRPr="0012460F">
        <w:rPr>
          <w:sz w:val="20"/>
          <w:szCs w:val="20"/>
        </w:rPr>
        <w:t>the gNB will need to receive Rx-Tx measurement reports from the UE to compute the DL PD, conduct pre-compensation</w:t>
      </w:r>
      <w:r>
        <w:rPr>
          <w:sz w:val="20"/>
          <w:szCs w:val="20"/>
        </w:rPr>
        <w:t>,</w:t>
      </w:r>
      <w:r w:rsidR="00010D07" w:rsidRPr="0012460F">
        <w:rPr>
          <w:sz w:val="20"/>
          <w:szCs w:val="20"/>
        </w:rPr>
        <w:t xml:space="preserve"> and then signalling </w:t>
      </w:r>
      <w:r>
        <w:rPr>
          <w:sz w:val="20"/>
          <w:szCs w:val="20"/>
        </w:rPr>
        <w:t xml:space="preserve">to </w:t>
      </w:r>
      <w:r w:rsidR="00010D07" w:rsidRPr="0012460F">
        <w:rPr>
          <w:sz w:val="20"/>
          <w:szCs w:val="20"/>
        </w:rPr>
        <w:t>the UE</w:t>
      </w:r>
      <w:r w:rsidR="006D34EE" w:rsidRPr="0012460F">
        <w:rPr>
          <w:sz w:val="20"/>
          <w:szCs w:val="20"/>
        </w:rPr>
        <w:t>.</w:t>
      </w:r>
      <w:r w:rsidR="00C05901" w:rsidRPr="0012460F">
        <w:rPr>
          <w:sz w:val="20"/>
          <w:szCs w:val="20"/>
        </w:rPr>
        <w:t xml:space="preserve"> </w:t>
      </w:r>
    </w:p>
    <w:p w14:paraId="39415F8A" w14:textId="17207D6E" w:rsidR="008807CD" w:rsidRDefault="00C05901" w:rsidP="005240AE">
      <w:pPr>
        <w:jc w:val="both"/>
      </w:pPr>
      <w:r>
        <w:lastRenderedPageBreak/>
        <w:t xml:space="preserve">The only </w:t>
      </w:r>
      <w:r w:rsidR="00954F99">
        <w:t xml:space="preserve">exception </w:t>
      </w:r>
      <w:r w:rsidR="001E51FB">
        <w:t xml:space="preserve">from the drawback </w:t>
      </w:r>
      <w:r w:rsidR="000F3948">
        <w:t>a.</w:t>
      </w:r>
      <w:r w:rsidR="001E51FB">
        <w:t xml:space="preserve"> </w:t>
      </w:r>
      <w:r>
        <w:t>is the case where the gNB pre-compensate by a common PD offset (e.g</w:t>
      </w:r>
      <w:r w:rsidRPr="0012460F">
        <w:t>.</w:t>
      </w:r>
      <w:r w:rsidR="0012460F" w:rsidRPr="0012460F">
        <w:t>,</w:t>
      </w:r>
      <w:r>
        <w:t xml:space="preserve"> average PD) within the cell</w:t>
      </w:r>
      <w:r w:rsidR="001E51FB">
        <w:t>. We consider this a</w:t>
      </w:r>
      <w:r w:rsidR="00E425B3">
        <w:t>s a</w:t>
      </w:r>
      <w:r w:rsidR="001E51FB">
        <w:t xml:space="preserve"> </w:t>
      </w:r>
      <w:r w:rsidR="00E425B3">
        <w:t>rare</w:t>
      </w:r>
      <w:r w:rsidR="001E51FB">
        <w:t xml:space="preserve"> case, </w:t>
      </w:r>
      <w:r>
        <w:t xml:space="preserve"> and </w:t>
      </w:r>
      <w:r w:rsidR="00E425B3">
        <w:t>therefore we do not think RAN2 should make too much specification effort to support this.</w:t>
      </w:r>
    </w:p>
    <w:p w14:paraId="33C45F63" w14:textId="0F554889" w:rsidR="00193BB2" w:rsidRDefault="00DF76AF" w:rsidP="005240AE">
      <w:pPr>
        <w:jc w:val="both"/>
      </w:pPr>
      <w:r>
        <w:t xml:space="preserve">It has been discussed earlier in RAN1 whether there </w:t>
      </w:r>
      <w:r w:rsidR="008807CD">
        <w:t>are</w:t>
      </w:r>
      <w:r>
        <w:t xml:space="preserve"> any technical accuracy benefits of supporting gNB pre-compensation. As regarding TA</w:t>
      </w:r>
      <w:r w:rsidR="001367C4">
        <w:t xml:space="preserve"> based pre-compensation</w:t>
      </w:r>
      <w:r>
        <w:t xml:space="preserve">, there might be a small benefit in avoiding the error from </w:t>
      </w:r>
      <w:r w:rsidR="00284DC0">
        <w:t xml:space="preserve">the TA signalling </w:t>
      </w:r>
      <w:r>
        <w:t>quantization</w:t>
      </w:r>
      <w:r w:rsidR="002068AE">
        <w:t xml:space="preserve">, but for RTT, there is no envisioned accuracy benefit </w:t>
      </w:r>
      <w:r w:rsidR="00AD7945">
        <w:t>(from combining</w:t>
      </w:r>
      <w:r w:rsidR="00B07185">
        <w:t xml:space="preserve"> Rx-Tx measurements</w:t>
      </w:r>
      <w:r w:rsidR="00AD7945">
        <w:t xml:space="preserve"> or from avoided quantization</w:t>
      </w:r>
      <w:r w:rsidR="00B07185">
        <w:t xml:space="preserve"> inaccuracy</w:t>
      </w:r>
      <w:r w:rsidR="00AD7945">
        <w:t>)</w:t>
      </w:r>
      <w:r w:rsidR="002068AE">
        <w:t xml:space="preserve"> from gNB-pre-compensation as the combining of two Rx-Tx measurements is straight forward</w:t>
      </w:r>
      <w:r w:rsidR="000902A8">
        <w:t xml:space="preserve"> and signalling of an Rx-Tx measurement cannot be avoided in neither UE-side PDC or gNB pre-compensation</w:t>
      </w:r>
      <w:r w:rsidR="002068AE">
        <w:t>.</w:t>
      </w:r>
    </w:p>
    <w:p w14:paraId="7533AA9A" w14:textId="1F2A60FD" w:rsidR="00BC0D09" w:rsidRPr="00F954A7" w:rsidRDefault="00BC0D09" w:rsidP="005240AE">
      <w:pPr>
        <w:jc w:val="both"/>
        <w:rPr>
          <w:b/>
        </w:rPr>
      </w:pPr>
      <w:r w:rsidRPr="0018585C">
        <w:rPr>
          <w:b/>
          <w:bCs/>
        </w:rPr>
        <w:t>Observation 2</w:t>
      </w:r>
      <w:r w:rsidRPr="00F954A7">
        <w:rPr>
          <w:b/>
        </w:rPr>
        <w:t>: No technical benefits</w:t>
      </w:r>
      <w:r w:rsidR="00E425B3">
        <w:rPr>
          <w:b/>
          <w:bCs/>
        </w:rPr>
        <w:t xml:space="preserve"> can be</w:t>
      </w:r>
      <w:r w:rsidRPr="00F954A7">
        <w:rPr>
          <w:b/>
        </w:rPr>
        <w:t xml:space="preserve"> </w:t>
      </w:r>
      <w:r w:rsidR="003C6236" w:rsidRPr="00F954A7">
        <w:rPr>
          <w:b/>
        </w:rPr>
        <w:t>identified</w:t>
      </w:r>
      <w:r w:rsidRPr="00F954A7">
        <w:rPr>
          <w:b/>
        </w:rPr>
        <w:t xml:space="preserve"> with gNB PD pre-compensation despite the </w:t>
      </w:r>
      <w:r w:rsidR="00122B9A" w:rsidRPr="00F954A7">
        <w:rPr>
          <w:b/>
        </w:rPr>
        <w:t xml:space="preserve">drawbacks of </w:t>
      </w:r>
      <w:r w:rsidR="00E425B3">
        <w:rPr>
          <w:b/>
          <w:bCs/>
        </w:rPr>
        <w:t>heavier</w:t>
      </w:r>
      <w:r w:rsidR="00E425B3" w:rsidRPr="00F954A7">
        <w:rPr>
          <w:b/>
        </w:rPr>
        <w:t xml:space="preserve"> </w:t>
      </w:r>
      <w:r w:rsidR="00122B9A" w:rsidRPr="00F954A7">
        <w:rPr>
          <w:b/>
        </w:rPr>
        <w:t>air interface overhead and need for unicast delivery of RTI</w:t>
      </w:r>
      <w:r w:rsidRPr="00F954A7">
        <w:rPr>
          <w:b/>
        </w:rPr>
        <w:t>.</w:t>
      </w:r>
    </w:p>
    <w:p w14:paraId="28972798" w14:textId="42DF863E" w:rsidR="000F3948" w:rsidRDefault="00E425B3" w:rsidP="005240AE">
      <w:pPr>
        <w:jc w:val="both"/>
      </w:pPr>
      <w:r>
        <w:t>Moreover, there could be further specification impacts to RAN3 if gNB pre-compensation is to be supported. As we are approaching the end of Rel-17, this is not appropriate to bring additional impacts to other WGs. Hence, b</w:t>
      </w:r>
      <w:r w:rsidR="00DF76AF">
        <w:t xml:space="preserve">ased on this discussion, </w:t>
      </w:r>
      <w:r>
        <w:t>we propose that</w:t>
      </w:r>
      <w:r w:rsidR="00DF76AF">
        <w:t xml:space="preserve"> RAN2 </w:t>
      </w:r>
      <w:r>
        <w:t xml:space="preserve">should only </w:t>
      </w:r>
      <w:r w:rsidR="00DF76AF">
        <w:t xml:space="preserve">focus on UE-side PDC </w:t>
      </w:r>
      <w:r w:rsidR="00636EAF">
        <w:t>for both TA-based PDC and RTT based PDC. If the majority of companies wants to support gNB</w:t>
      </w:r>
      <w:r w:rsidR="0075191B">
        <w:t xml:space="preserve"> pre-compensation, then this should be focused on TA-based PDC.</w:t>
      </w:r>
    </w:p>
    <w:p w14:paraId="139427D5" w14:textId="26DA49D0" w:rsidR="00B0683D" w:rsidRDefault="00B0683D" w:rsidP="006005C8">
      <w:pPr>
        <w:jc w:val="both"/>
        <w:rPr>
          <w:b/>
        </w:rPr>
      </w:pPr>
      <w:r w:rsidRPr="00361078">
        <w:rPr>
          <w:b/>
          <w:bCs/>
        </w:rPr>
        <w:t>Proposal 1</w:t>
      </w:r>
      <w:r w:rsidRPr="00F954A7">
        <w:rPr>
          <w:b/>
        </w:rPr>
        <w:t xml:space="preserve">: </w:t>
      </w:r>
      <w:r w:rsidR="002B0ED8" w:rsidRPr="00F954A7">
        <w:rPr>
          <w:b/>
        </w:rPr>
        <w:t xml:space="preserve">RAN2 </w:t>
      </w:r>
      <w:r w:rsidR="0018585C" w:rsidRPr="00F954A7">
        <w:rPr>
          <w:b/>
        </w:rPr>
        <w:t xml:space="preserve">should </w:t>
      </w:r>
      <w:r w:rsidR="002B0ED8" w:rsidRPr="00F954A7">
        <w:rPr>
          <w:b/>
        </w:rPr>
        <w:t>focus on UE-side PDC</w:t>
      </w:r>
      <w:r w:rsidR="00BC0D09" w:rsidRPr="00F954A7">
        <w:rPr>
          <w:b/>
        </w:rPr>
        <w:t xml:space="preserve"> only</w:t>
      </w:r>
      <w:r w:rsidR="00361078">
        <w:rPr>
          <w:b/>
          <w:bCs/>
        </w:rPr>
        <w:t xml:space="preserve"> for Rel-17 specification</w:t>
      </w:r>
      <w:r w:rsidR="002B0ED8" w:rsidRPr="00F954A7">
        <w:rPr>
          <w:b/>
        </w:rPr>
        <w:t xml:space="preserve">. </w:t>
      </w:r>
    </w:p>
    <w:p w14:paraId="1F4E6ED5" w14:textId="77777777" w:rsidR="006005C8" w:rsidRPr="00F954A7" w:rsidRDefault="006005C8" w:rsidP="005240AE">
      <w:pPr>
        <w:jc w:val="both"/>
        <w:rPr>
          <w:b/>
        </w:rPr>
      </w:pPr>
    </w:p>
    <w:p w14:paraId="5F01C058" w14:textId="6CABCA13" w:rsidR="00A209D6" w:rsidRDefault="00B7538C" w:rsidP="005240AE">
      <w:pPr>
        <w:pStyle w:val="Heading2"/>
        <w:jc w:val="both"/>
      </w:pPr>
      <w:r>
        <w:t>2</w:t>
      </w:r>
      <w:r w:rsidR="00A209D6" w:rsidRPr="006E13D1">
        <w:t>.1</w:t>
      </w:r>
      <w:r w:rsidR="00A209D6" w:rsidRPr="006E13D1">
        <w:tab/>
      </w:r>
      <w:r w:rsidR="00B0683D">
        <w:t>Rx-Tx reporting framework</w:t>
      </w:r>
    </w:p>
    <w:p w14:paraId="157438DC" w14:textId="33FABBC7" w:rsidR="003C6236" w:rsidRDefault="0018585C" w:rsidP="005240AE">
      <w:pPr>
        <w:jc w:val="both"/>
      </w:pPr>
      <w:r>
        <w:t>By following Proposal 1 where only UE-side PDC is considered</w:t>
      </w:r>
      <w:r w:rsidR="000D792B">
        <w:t xml:space="preserve">, </w:t>
      </w:r>
      <w:r w:rsidR="000002F2">
        <w:t>the UE</w:t>
      </w:r>
      <w:r w:rsidR="000002F2" w:rsidDel="00C1216C">
        <w:t xml:space="preserve"> </w:t>
      </w:r>
      <w:r w:rsidR="000002F2">
        <w:t xml:space="preserve">needs to receive the gNB Rx-Tx measurement report in order to combine this with the UE Rx-Tx measurement </w:t>
      </w:r>
      <w:r w:rsidR="00361078">
        <w:t>for calculations of</w:t>
      </w:r>
      <w:r w:rsidR="000002F2">
        <w:t xml:space="preserve"> RTT and DL PD</w:t>
      </w:r>
      <w:r w:rsidR="00B57EC9">
        <w:t xml:space="preserve">. </w:t>
      </w:r>
      <w:r w:rsidR="00AC0D86">
        <w:t>This report is</w:t>
      </w:r>
      <w:r w:rsidR="00AC0D86" w:rsidDel="00C1216C">
        <w:t xml:space="preserve"> </w:t>
      </w:r>
      <w:r w:rsidR="00C1216C">
        <w:t xml:space="preserve">signalled </w:t>
      </w:r>
      <w:r w:rsidR="00AC0D86">
        <w:t xml:space="preserve">from the gNB to the UE, </w:t>
      </w:r>
      <w:r w:rsidR="00CC3BAB">
        <w:t xml:space="preserve">so </w:t>
      </w:r>
      <w:r w:rsidR="00AC0D86">
        <w:t>there is no need to specify a UE measurement reporting framework, instead, it is up to the gNB to deliver its Rx-Tx measurement report to the UE</w:t>
      </w:r>
      <w:r w:rsidR="0092385A">
        <w:t xml:space="preserve"> in a timely manner</w:t>
      </w:r>
      <w:r w:rsidR="00AC0D86">
        <w:t>.</w:t>
      </w:r>
      <w:r w:rsidR="00387E47">
        <w:t xml:space="preserve"> This is illustrated in Figure 1. </w:t>
      </w:r>
    </w:p>
    <w:p w14:paraId="54259DAB" w14:textId="77777777" w:rsidR="00387E47" w:rsidRDefault="00387E47" w:rsidP="005240AE">
      <w:pPr>
        <w:keepNext/>
        <w:jc w:val="center"/>
      </w:pPr>
      <w:r>
        <w:rPr>
          <w:noProof/>
        </w:rPr>
        <w:drawing>
          <wp:inline distT="0" distB="0" distL="0" distR="0" wp14:anchorId="65852BDB" wp14:editId="32EAAD86">
            <wp:extent cx="5059296" cy="1282535"/>
            <wp:effectExtent l="0" t="0" r="0" b="0"/>
            <wp:docPr id="2" name="Picture 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123856" cy="1298901"/>
                    </a:xfrm>
                    <a:prstGeom prst="rect">
                      <a:avLst/>
                    </a:prstGeom>
                  </pic:spPr>
                </pic:pic>
              </a:graphicData>
            </a:graphic>
          </wp:inline>
        </w:drawing>
      </w:r>
    </w:p>
    <w:p w14:paraId="490C9FD2" w14:textId="7D500856" w:rsidR="00387E47" w:rsidRDefault="00387E47" w:rsidP="005240AE">
      <w:pPr>
        <w:pStyle w:val="Caption"/>
        <w:jc w:val="center"/>
      </w:pPr>
      <w:r>
        <w:t xml:space="preserve">Figure </w:t>
      </w:r>
      <w:fldSimple w:instr=" SEQ Figure \* ARABIC ">
        <w:r w:rsidR="009211D0">
          <w:rPr>
            <w:noProof/>
          </w:rPr>
          <w:t>1</w:t>
        </w:r>
      </w:fldSimple>
      <w:r>
        <w:t>. Illustration of the Rx-Tx based PD estimation procedure.</w:t>
      </w:r>
    </w:p>
    <w:p w14:paraId="149A1018" w14:textId="73EFF905" w:rsidR="00AC0D86" w:rsidRPr="00744D85" w:rsidRDefault="00AC0D86" w:rsidP="005240AE">
      <w:pPr>
        <w:jc w:val="both"/>
        <w:rPr>
          <w:b/>
        </w:rPr>
      </w:pPr>
      <w:r w:rsidRPr="00361078">
        <w:rPr>
          <w:b/>
          <w:bCs/>
        </w:rPr>
        <w:t>Proposal 2</w:t>
      </w:r>
      <w:r w:rsidRPr="00744D85">
        <w:rPr>
          <w:b/>
        </w:rPr>
        <w:t xml:space="preserve">: </w:t>
      </w:r>
      <w:r w:rsidR="00361078" w:rsidRPr="00744D85">
        <w:rPr>
          <w:b/>
        </w:rPr>
        <w:t xml:space="preserve">RAN2 only needs to </w:t>
      </w:r>
      <w:r w:rsidRPr="00744D85">
        <w:rPr>
          <w:b/>
        </w:rPr>
        <w:t>support Rx-Tx measurement report from gNB to UE for RTT based PDC.</w:t>
      </w:r>
    </w:p>
    <w:p w14:paraId="523793F9" w14:textId="17378471" w:rsidR="00AC0D86" w:rsidRDefault="002723BD" w:rsidP="005240AE">
      <w:pPr>
        <w:jc w:val="both"/>
      </w:pPr>
      <w:r>
        <w:t>It has been discussed in RAN1 how to UE can match the received gNB Rx-Tx measurement report with a UE Rx-Tx measurement report.</w:t>
      </w:r>
      <w:r w:rsidR="00FC614A">
        <w:t xml:space="preserve"> From our point of view, this is straightforward</w:t>
      </w:r>
      <w:r w:rsidR="00361078">
        <w:t xml:space="preserve"> because</w:t>
      </w:r>
      <w:r w:rsidR="00FC614A">
        <w:t xml:space="preserve"> only one pair </w:t>
      </w:r>
      <w:r w:rsidR="002E3BEA">
        <w:t xml:space="preserve">of </w:t>
      </w:r>
      <w:r w:rsidR="00FC614A">
        <w:t xml:space="preserve">UL and DL </w:t>
      </w:r>
      <w:r w:rsidR="00C46387">
        <w:t>reference signal (</w:t>
      </w:r>
      <w:r w:rsidR="00FC614A">
        <w:t>RS</w:t>
      </w:r>
      <w:r w:rsidR="00C46387">
        <w:t>)</w:t>
      </w:r>
      <w:r w:rsidR="00FC614A">
        <w:t xml:space="preserve"> is supported for Rx-Tx measurements</w:t>
      </w:r>
      <w:r w:rsidR="00361078">
        <w:t>,</w:t>
      </w:r>
      <w:r w:rsidR="00F11A38">
        <w:t xml:space="preserve"> and as long </w:t>
      </w:r>
      <w:r w:rsidR="00361078">
        <w:t xml:space="preserve">as </w:t>
      </w:r>
      <w:r w:rsidR="00810F37">
        <w:t xml:space="preserve">the gNB can </w:t>
      </w:r>
      <w:r w:rsidR="00361078">
        <w:t>ensure appropriate signal</w:t>
      </w:r>
      <w:r w:rsidR="009C746B">
        <w:t>l</w:t>
      </w:r>
      <w:r w:rsidR="00361078">
        <w:t>ing timings</w:t>
      </w:r>
      <w:r w:rsidR="00052781">
        <w:t xml:space="preserve"> then the pairing of RS should not be an issue. That can be </w:t>
      </w:r>
      <w:r w:rsidR="00884611">
        <w:t>done by ensuring that the order of UL RS, DL RS and an Rx-Tx measurement is always maintained</w:t>
      </w:r>
      <w:r w:rsidR="00F954A7">
        <w:t xml:space="preserve">. </w:t>
      </w:r>
      <w:r w:rsidR="00E07D14">
        <w:t xml:space="preserve">The UE </w:t>
      </w:r>
      <w:r w:rsidR="00FF6C17">
        <w:t>can thereby merely</w:t>
      </w:r>
      <w:r w:rsidR="00E07D14">
        <w:t xml:space="preserve"> rely on </w:t>
      </w:r>
      <w:r w:rsidR="00FF6C17">
        <w:t>a simple rule</w:t>
      </w:r>
      <w:r w:rsidR="00E07D14">
        <w:t xml:space="preserve"> of </w:t>
      </w:r>
      <w:r w:rsidR="00FF6C17">
        <w:t xml:space="preserve">always </w:t>
      </w:r>
      <w:r w:rsidR="00E07D14">
        <w:t xml:space="preserve">combining the </w:t>
      </w:r>
      <w:r w:rsidR="003837E2">
        <w:t xml:space="preserve">latest </w:t>
      </w:r>
      <w:r w:rsidR="00E07D14">
        <w:t xml:space="preserve">received gNB Rx-Tx measurement with the </w:t>
      </w:r>
      <w:r w:rsidR="00F111BE">
        <w:t>latest</w:t>
      </w:r>
      <w:r w:rsidR="00E07D14">
        <w:t xml:space="preserve"> UE Rx-Tx measurement</w:t>
      </w:r>
      <w:r w:rsidR="00FF6C17">
        <w:t>, and the rest can be</w:t>
      </w:r>
      <w:r w:rsidR="00E07D14" w:rsidDel="00FF6C17">
        <w:t xml:space="preserve"> </w:t>
      </w:r>
      <w:r w:rsidR="00E07D14">
        <w:t xml:space="preserve">left </w:t>
      </w:r>
      <w:r w:rsidR="00FF6C17">
        <w:t xml:space="preserve">to </w:t>
      </w:r>
      <w:r w:rsidR="00E07D14">
        <w:t xml:space="preserve">gNB implementation </w:t>
      </w:r>
      <w:r w:rsidR="003837E2">
        <w:t xml:space="preserve">to ensure </w:t>
      </w:r>
      <w:r w:rsidR="00E07D14">
        <w:t xml:space="preserve">this is feasible. </w:t>
      </w:r>
    </w:p>
    <w:p w14:paraId="2364CA92" w14:textId="130BB248" w:rsidR="00E07D14" w:rsidRPr="00744D85" w:rsidRDefault="00E07D14" w:rsidP="005240AE">
      <w:pPr>
        <w:jc w:val="both"/>
        <w:rPr>
          <w:b/>
        </w:rPr>
      </w:pPr>
      <w:r w:rsidRPr="00FF6C17">
        <w:rPr>
          <w:b/>
          <w:bCs/>
        </w:rPr>
        <w:t>Proposal 3</w:t>
      </w:r>
      <w:r w:rsidRPr="00744D85">
        <w:rPr>
          <w:b/>
        </w:rPr>
        <w:t xml:space="preserve">: UE combines the </w:t>
      </w:r>
      <w:r w:rsidR="00FF6C17">
        <w:rPr>
          <w:b/>
          <w:bCs/>
        </w:rPr>
        <w:t xml:space="preserve">latest </w:t>
      </w:r>
      <w:r w:rsidRPr="00744D85">
        <w:rPr>
          <w:b/>
        </w:rPr>
        <w:t>received gNB Rx-Tx measurement with the latest UE Rx-Tx measurement.</w:t>
      </w:r>
    </w:p>
    <w:p w14:paraId="27F21587" w14:textId="05991A60" w:rsidR="00E07D14" w:rsidRDefault="00E07D14" w:rsidP="005240AE">
      <w:pPr>
        <w:jc w:val="both"/>
      </w:pPr>
      <w:r>
        <w:t xml:space="preserve">Lastly, it has been agreed in RAN1 that the Rx-Tx measurement report should be delivered over RRC. </w:t>
      </w:r>
      <w:r w:rsidR="002C10A8">
        <w:t>We are supportive of this decision to be adapted by RAN2</w:t>
      </w:r>
      <w:r>
        <w:t xml:space="preserve">, </w:t>
      </w:r>
      <w:r w:rsidR="0058676C">
        <w:t>as</w:t>
      </w:r>
      <w:r>
        <w:t xml:space="preserve"> it is </w:t>
      </w:r>
      <w:r w:rsidR="00FF6C17">
        <w:t xml:space="preserve">a </w:t>
      </w:r>
      <w:r>
        <w:t xml:space="preserve">more reliable </w:t>
      </w:r>
      <w:r w:rsidR="00FF6C17">
        <w:t xml:space="preserve">way </w:t>
      </w:r>
      <w:r w:rsidR="0058676C">
        <w:t xml:space="preserve">to </w:t>
      </w:r>
      <w:r w:rsidR="00FF6C17">
        <w:t>make sure such information can be provided</w:t>
      </w:r>
      <w:r w:rsidR="0058676C">
        <w:t xml:space="preserve"> properly</w:t>
      </w:r>
      <w:r w:rsidR="00FF6C17">
        <w:t>,</w:t>
      </w:r>
      <w:r w:rsidR="0058676C" w:rsidDel="00FF6C17">
        <w:t xml:space="preserve"> </w:t>
      </w:r>
      <w:r w:rsidR="00FF6C17">
        <w:t xml:space="preserve">with </w:t>
      </w:r>
      <w:r>
        <w:t xml:space="preserve">both RLC </w:t>
      </w:r>
      <w:r w:rsidR="00E70012">
        <w:t xml:space="preserve">AM </w:t>
      </w:r>
      <w:r>
        <w:t xml:space="preserve">and </w:t>
      </w:r>
      <w:r w:rsidR="00E70012">
        <w:t>HARQ</w:t>
      </w:r>
      <w:r w:rsidR="00FF6C17">
        <w:t xml:space="preserve"> mechanisms</w:t>
      </w:r>
      <w:r w:rsidR="00E70012">
        <w:t xml:space="preserve">. </w:t>
      </w:r>
      <w:r w:rsidR="00FF6C17">
        <w:t xml:space="preserve">Based on </w:t>
      </w:r>
      <w:r w:rsidR="00E70012">
        <w:t xml:space="preserve">the relative </w:t>
      </w:r>
      <w:r w:rsidR="00D20C98">
        <w:t xml:space="preserve">long </w:t>
      </w:r>
      <w:r w:rsidR="00E70012">
        <w:t xml:space="preserve">periodicity </w:t>
      </w:r>
      <w:r w:rsidR="008628F5">
        <w:t>envisioned</w:t>
      </w:r>
      <w:r w:rsidR="00E70012">
        <w:t xml:space="preserve"> for Rx-Tx measurements, we do not see an issue </w:t>
      </w:r>
      <w:r w:rsidR="00F24093">
        <w:t xml:space="preserve">adopting </w:t>
      </w:r>
      <w:r w:rsidR="00580F8E">
        <w:t xml:space="preserve">the RAN1 proposal which is both simple to specify and </w:t>
      </w:r>
      <w:r w:rsidR="008628F5">
        <w:t>sufficient</w:t>
      </w:r>
      <w:r w:rsidR="0045745A">
        <w:t xml:space="preserve"> for proper operation</w:t>
      </w:r>
      <w:r w:rsidR="00580F8E">
        <w:t xml:space="preserve">. </w:t>
      </w:r>
    </w:p>
    <w:p w14:paraId="71DFAE71" w14:textId="49933C07" w:rsidR="00D43DB3" w:rsidRDefault="008628F5" w:rsidP="006005C8">
      <w:pPr>
        <w:jc w:val="both"/>
        <w:rPr>
          <w:b/>
        </w:rPr>
      </w:pPr>
      <w:r w:rsidRPr="0045745A">
        <w:rPr>
          <w:b/>
          <w:bCs/>
        </w:rPr>
        <w:t>Proposal 4</w:t>
      </w:r>
      <w:r w:rsidRPr="00744D85">
        <w:rPr>
          <w:b/>
        </w:rPr>
        <w:t xml:space="preserve">: RAN2 to </w:t>
      </w:r>
      <w:r w:rsidRPr="00744D85">
        <w:rPr>
          <w:b/>
          <w:bCs/>
        </w:rPr>
        <w:t>ad</w:t>
      </w:r>
      <w:r w:rsidR="00F24093" w:rsidRPr="00744D85">
        <w:rPr>
          <w:b/>
          <w:bCs/>
        </w:rPr>
        <w:t>o</w:t>
      </w:r>
      <w:r w:rsidRPr="00744D85">
        <w:rPr>
          <w:b/>
          <w:bCs/>
        </w:rPr>
        <w:t>pt</w:t>
      </w:r>
      <w:r w:rsidRPr="00744D85">
        <w:rPr>
          <w:b/>
        </w:rPr>
        <w:t xml:space="preserve"> the RAN1 agreement to deliver Rx-Tx measurements over RRC.</w:t>
      </w:r>
    </w:p>
    <w:p w14:paraId="42894227" w14:textId="77777777" w:rsidR="006005C8" w:rsidRPr="00744D85" w:rsidRDefault="006005C8" w:rsidP="005240AE">
      <w:pPr>
        <w:jc w:val="both"/>
        <w:rPr>
          <w:b/>
        </w:rPr>
      </w:pPr>
    </w:p>
    <w:p w14:paraId="7098F90D" w14:textId="45B7975D" w:rsidR="00A209D6" w:rsidRDefault="00B7538C" w:rsidP="005240AE">
      <w:pPr>
        <w:pStyle w:val="Heading2"/>
        <w:jc w:val="both"/>
        <w:rPr>
          <w:lang w:val="en-US"/>
        </w:rPr>
      </w:pPr>
      <w:r w:rsidRPr="002B0ED8">
        <w:rPr>
          <w:lang w:val="en-US"/>
        </w:rPr>
        <w:lastRenderedPageBreak/>
        <w:t>2</w:t>
      </w:r>
      <w:r w:rsidR="00A209D6" w:rsidRPr="002B0ED8">
        <w:rPr>
          <w:lang w:val="en-US"/>
        </w:rPr>
        <w:t>.2</w:t>
      </w:r>
      <w:r w:rsidR="00A209D6" w:rsidRPr="002B0ED8">
        <w:rPr>
          <w:lang w:val="en-US"/>
        </w:rPr>
        <w:tab/>
      </w:r>
      <w:r w:rsidR="003C6236">
        <w:rPr>
          <w:lang w:val="en-US"/>
        </w:rPr>
        <w:t>Activation and deactivation of UE-side PDC</w:t>
      </w:r>
    </w:p>
    <w:p w14:paraId="05E0EE77" w14:textId="6C47D27B" w:rsidR="004B6893" w:rsidRDefault="0029467F" w:rsidP="005240AE">
      <w:pPr>
        <w:jc w:val="both"/>
        <w:rPr>
          <w:lang w:val="en-US"/>
        </w:rPr>
      </w:pPr>
      <w:r>
        <w:rPr>
          <w:lang w:val="en-US"/>
        </w:rPr>
        <w:t xml:space="preserve">The activation and deactivation of UE side PDC intends to avoid the case where both UE and gNB </w:t>
      </w:r>
      <w:r w:rsidR="00F24093">
        <w:rPr>
          <w:lang w:val="en-US"/>
        </w:rPr>
        <w:t>apply</w:t>
      </w:r>
      <w:r w:rsidDel="00F24093">
        <w:rPr>
          <w:lang w:val="en-US"/>
        </w:rPr>
        <w:t xml:space="preserve"> </w:t>
      </w:r>
      <w:r>
        <w:rPr>
          <w:lang w:val="en-US"/>
        </w:rPr>
        <w:t>PDC to the RTI timestamp</w:t>
      </w:r>
      <w:r w:rsidR="00A30A25">
        <w:rPr>
          <w:lang w:val="en-US"/>
        </w:rPr>
        <w:t xml:space="preserve">. </w:t>
      </w:r>
      <w:r w:rsidR="00BD4336">
        <w:rPr>
          <w:lang w:val="en-US"/>
        </w:rPr>
        <w:t>RAN2 has agreed that this should be supported by means of both unicast and a broadcast indication. A unicast indication could be in</w:t>
      </w:r>
      <w:r w:rsidR="005B3479">
        <w:rPr>
          <w:lang w:val="en-US"/>
        </w:rPr>
        <w:t xml:space="preserve"> an explicit PDC related</w:t>
      </w:r>
      <w:r w:rsidR="00BD4336">
        <w:rPr>
          <w:lang w:val="en-US"/>
        </w:rPr>
        <w:t xml:space="preserve"> RRC</w:t>
      </w:r>
      <w:r w:rsidR="005B3479">
        <w:rPr>
          <w:lang w:val="en-US"/>
        </w:rPr>
        <w:t xml:space="preserve"> IE, or </w:t>
      </w:r>
      <w:r w:rsidR="00892EF1">
        <w:rPr>
          <w:lang w:val="en-US"/>
        </w:rPr>
        <w:t xml:space="preserve">within the RTI whereas a broadcast version to our understanding would have to be considered as an extension to SIB9.  </w:t>
      </w:r>
      <w:r w:rsidR="006005C8">
        <w:rPr>
          <w:lang w:val="en-US"/>
        </w:rPr>
        <w:t>Here we provides our view about activation/deactivation signalling for each of the RX-TX based PDC method and TA-based PDC method.</w:t>
      </w:r>
    </w:p>
    <w:p w14:paraId="25883B1D" w14:textId="05F1B859" w:rsidR="00A86390" w:rsidRPr="00A86390" w:rsidRDefault="004B79E2" w:rsidP="005240AE">
      <w:pPr>
        <w:jc w:val="both"/>
      </w:pPr>
      <w:r w:rsidRPr="005240AE">
        <w:rPr>
          <w:b/>
          <w:bCs/>
          <w:u w:val="single"/>
        </w:rPr>
        <w:t>Activation</w:t>
      </w:r>
      <w:r w:rsidR="00A6284E" w:rsidRPr="005240AE">
        <w:rPr>
          <w:b/>
          <w:bCs/>
          <w:u w:val="single"/>
        </w:rPr>
        <w:t xml:space="preserve"> and deactivation</w:t>
      </w:r>
      <w:r w:rsidRPr="005240AE">
        <w:rPr>
          <w:b/>
          <w:bCs/>
          <w:u w:val="single"/>
        </w:rPr>
        <w:t xml:space="preserve"> signalling with the </w:t>
      </w:r>
      <w:r w:rsidR="00A86390" w:rsidRPr="005240AE">
        <w:rPr>
          <w:b/>
          <w:bCs/>
          <w:u w:val="single"/>
        </w:rPr>
        <w:t>R</w:t>
      </w:r>
      <w:r w:rsidRPr="005240AE">
        <w:rPr>
          <w:b/>
          <w:bCs/>
          <w:u w:val="single"/>
        </w:rPr>
        <w:t>x</w:t>
      </w:r>
      <w:r w:rsidR="00A86390" w:rsidRPr="005240AE">
        <w:rPr>
          <w:b/>
          <w:bCs/>
          <w:u w:val="single"/>
        </w:rPr>
        <w:t>-T</w:t>
      </w:r>
      <w:r w:rsidRPr="005240AE">
        <w:rPr>
          <w:b/>
          <w:bCs/>
          <w:u w:val="single"/>
        </w:rPr>
        <w:t>x based PDC</w:t>
      </w:r>
      <w:r w:rsidR="00A86390" w:rsidRPr="005240AE">
        <w:rPr>
          <w:b/>
          <w:bCs/>
          <w:u w:val="single"/>
        </w:rPr>
        <w:t xml:space="preserve"> method</w:t>
      </w:r>
    </w:p>
    <w:p w14:paraId="5394CF0A" w14:textId="5412CD2F" w:rsidR="00A86390" w:rsidRDefault="001B1D28" w:rsidP="005240AE">
      <w:pPr>
        <w:spacing w:after="0"/>
        <w:jc w:val="both"/>
        <w:rPr>
          <w:lang w:val="en-US"/>
        </w:rPr>
      </w:pPr>
      <w:r>
        <w:rPr>
          <w:lang w:val="en-US"/>
        </w:rPr>
        <w:t xml:space="preserve">For </w:t>
      </w:r>
      <w:r w:rsidR="0048529A">
        <w:rPr>
          <w:lang w:val="en-US"/>
        </w:rPr>
        <w:t xml:space="preserve">UE-side </w:t>
      </w:r>
      <w:r>
        <w:rPr>
          <w:lang w:val="en-US"/>
        </w:rPr>
        <w:t>RTT-based PDC</w:t>
      </w:r>
      <w:r w:rsidR="0048529A">
        <w:rPr>
          <w:lang w:val="en-US"/>
        </w:rPr>
        <w:t>, considering that the procedure will require a unicast configuration framework</w:t>
      </w:r>
      <w:r w:rsidR="001D7032">
        <w:rPr>
          <w:lang w:val="en-US"/>
        </w:rPr>
        <w:t xml:space="preserve"> and </w:t>
      </w:r>
      <w:r w:rsidR="0048529A">
        <w:rPr>
          <w:lang w:val="en-US"/>
        </w:rPr>
        <w:t>as is still being discussed in RAN1</w:t>
      </w:r>
      <w:r w:rsidR="001D7032">
        <w:rPr>
          <w:lang w:val="en-US"/>
        </w:rPr>
        <w:t xml:space="preserve"> and unicast delivery of Rx-Tx measurement reports,</w:t>
      </w:r>
      <w:r w:rsidR="0048529A">
        <w:rPr>
          <w:lang w:val="en-US"/>
        </w:rPr>
        <w:t xml:space="preserve"> it is only natural to consider that the activation and deactivation of this method is also </w:t>
      </w:r>
      <w:r w:rsidR="00677E66">
        <w:rPr>
          <w:lang w:val="en-US"/>
        </w:rPr>
        <w:t>signaled</w:t>
      </w:r>
      <w:r w:rsidR="0048529A">
        <w:rPr>
          <w:lang w:val="en-US"/>
        </w:rPr>
        <w:t xml:space="preserve"> in a unicast manner. Further, we see a poor match between </w:t>
      </w:r>
      <w:r w:rsidR="001D7032">
        <w:rPr>
          <w:lang w:val="en-US"/>
        </w:rPr>
        <w:t xml:space="preserve">gNB PD pre-compensation and SIB9 delivery </w:t>
      </w:r>
      <w:r w:rsidR="0051543B">
        <w:rPr>
          <w:lang w:val="en-US"/>
        </w:rPr>
        <w:t>for RTT based PDC</w:t>
      </w:r>
      <w:r w:rsidR="006C0BA7">
        <w:rPr>
          <w:lang w:val="en-US"/>
        </w:rPr>
        <w:t xml:space="preserve">, </w:t>
      </w:r>
      <w:r w:rsidR="000D1F56">
        <w:rPr>
          <w:lang w:val="en-US"/>
        </w:rPr>
        <w:t>thus</w:t>
      </w:r>
      <w:r w:rsidR="001D7032">
        <w:rPr>
          <w:lang w:val="en-US"/>
        </w:rPr>
        <w:t xml:space="preserve"> no need to support broadcast activation indication</w:t>
      </w:r>
      <w:r w:rsidR="001D7032" w:rsidDel="0051543B">
        <w:rPr>
          <w:lang w:val="en-US"/>
        </w:rPr>
        <w:t xml:space="preserve"> </w:t>
      </w:r>
      <w:r w:rsidR="000D1F56">
        <w:rPr>
          <w:lang w:val="en-US"/>
        </w:rPr>
        <w:t>in this case</w:t>
      </w:r>
      <w:r w:rsidR="001D7032">
        <w:rPr>
          <w:lang w:val="en-US"/>
        </w:rPr>
        <w:t xml:space="preserve">. </w:t>
      </w:r>
    </w:p>
    <w:p w14:paraId="00EC7056" w14:textId="77777777" w:rsidR="00A86390" w:rsidRDefault="00A86390" w:rsidP="005240AE">
      <w:pPr>
        <w:spacing w:after="0"/>
        <w:jc w:val="both"/>
        <w:rPr>
          <w:lang w:val="en-US"/>
        </w:rPr>
      </w:pPr>
    </w:p>
    <w:p w14:paraId="18005309" w14:textId="2EB8600F" w:rsidR="00A86390" w:rsidRPr="00744D85" w:rsidRDefault="00793419" w:rsidP="005240AE">
      <w:pPr>
        <w:jc w:val="both"/>
      </w:pPr>
      <w:r>
        <w:rPr>
          <w:b/>
          <w:bCs/>
        </w:rPr>
        <w:t>Proposal</w:t>
      </w:r>
      <w:r w:rsidR="00A86390">
        <w:rPr>
          <w:b/>
          <w:bCs/>
        </w:rPr>
        <w:t xml:space="preserve"> </w:t>
      </w:r>
      <w:r w:rsidR="00A6284E">
        <w:rPr>
          <w:b/>
          <w:bCs/>
        </w:rPr>
        <w:t>5</w:t>
      </w:r>
      <w:r w:rsidR="00A86390">
        <w:rPr>
          <w:b/>
          <w:bCs/>
        </w:rPr>
        <w:t xml:space="preserve">: </w:t>
      </w:r>
      <w:r w:rsidR="00542CEA">
        <w:rPr>
          <w:b/>
          <w:bCs/>
        </w:rPr>
        <w:t xml:space="preserve">Support only a unicast </w:t>
      </w:r>
      <w:r w:rsidR="00A86390">
        <w:rPr>
          <w:b/>
          <w:bCs/>
        </w:rPr>
        <w:t xml:space="preserve">activation/deactivation </w:t>
      </w:r>
      <w:r w:rsidR="00542CEA">
        <w:rPr>
          <w:b/>
          <w:bCs/>
        </w:rPr>
        <w:t xml:space="preserve">of UE-side PDC for Rx-Tx based PDC. </w:t>
      </w:r>
      <w:r w:rsidR="004B79E2">
        <w:rPr>
          <w:b/>
          <w:bCs/>
        </w:rPr>
        <w:t>A broadcast</w:t>
      </w:r>
      <w:r w:rsidR="00AC597A">
        <w:rPr>
          <w:b/>
          <w:bCs/>
        </w:rPr>
        <w:t>ed</w:t>
      </w:r>
      <w:r w:rsidR="00A86390">
        <w:rPr>
          <w:b/>
          <w:bCs/>
        </w:rPr>
        <w:t xml:space="preserve"> activation/deactivation</w:t>
      </w:r>
      <w:r w:rsidR="004B79E2">
        <w:rPr>
          <w:b/>
          <w:bCs/>
        </w:rPr>
        <w:t xml:space="preserve"> mechanism is redundant for the Rx-Tx based PDC method which anyway needs to be configured on each UE.</w:t>
      </w:r>
    </w:p>
    <w:p w14:paraId="0BB45889" w14:textId="77777777" w:rsidR="00A86390" w:rsidRPr="005240AE" w:rsidRDefault="00A86390" w:rsidP="005240AE">
      <w:pPr>
        <w:spacing w:after="0"/>
        <w:jc w:val="both"/>
      </w:pPr>
    </w:p>
    <w:p w14:paraId="36EAE039" w14:textId="4839D47C" w:rsidR="001D7032" w:rsidRDefault="00A86390" w:rsidP="005240AE">
      <w:pPr>
        <w:spacing w:after="0"/>
        <w:jc w:val="both"/>
        <w:rPr>
          <w:lang w:val="en-US"/>
        </w:rPr>
      </w:pPr>
      <w:r>
        <w:rPr>
          <w:lang w:val="en-US"/>
        </w:rPr>
        <w:t>Assuming unicast signaling is used, w</w:t>
      </w:r>
      <w:r w:rsidR="001D7032">
        <w:rPr>
          <w:lang w:val="en-US"/>
        </w:rPr>
        <w:t>e see</w:t>
      </w:r>
      <w:r w:rsidR="001D7032" w:rsidDel="000D1F56">
        <w:rPr>
          <w:lang w:val="en-US"/>
        </w:rPr>
        <w:t xml:space="preserve"> </w:t>
      </w:r>
      <w:r w:rsidR="000D1F56">
        <w:rPr>
          <w:lang w:val="en-US"/>
        </w:rPr>
        <w:t xml:space="preserve">three </w:t>
      </w:r>
      <w:r w:rsidR="001D7032">
        <w:rPr>
          <w:lang w:val="en-US"/>
        </w:rPr>
        <w:t>options for activation of RTT based PDC</w:t>
      </w:r>
      <w:r w:rsidR="009211D0">
        <w:rPr>
          <w:lang w:val="en-US"/>
        </w:rPr>
        <w:t xml:space="preserve"> which is also illustrated in Figure 2</w:t>
      </w:r>
      <w:r w:rsidR="001D7032">
        <w:rPr>
          <w:lang w:val="en-US"/>
        </w:rPr>
        <w:t>:</w:t>
      </w:r>
    </w:p>
    <w:p w14:paraId="3661DE5E" w14:textId="77777777" w:rsidR="006201F0" w:rsidRDefault="006201F0" w:rsidP="005240AE">
      <w:pPr>
        <w:spacing w:after="0"/>
        <w:jc w:val="both"/>
        <w:rPr>
          <w:lang w:val="en-US"/>
        </w:rPr>
      </w:pPr>
    </w:p>
    <w:p w14:paraId="3B181AD9" w14:textId="0612D07C" w:rsidR="001D7032" w:rsidRPr="00CC1DEA" w:rsidRDefault="001D7032" w:rsidP="005240AE">
      <w:pPr>
        <w:pStyle w:val="ListParagraph"/>
        <w:numPr>
          <w:ilvl w:val="0"/>
          <w:numId w:val="21"/>
        </w:numPr>
        <w:jc w:val="both"/>
        <w:rPr>
          <w:sz w:val="20"/>
          <w:szCs w:val="20"/>
        </w:rPr>
      </w:pPr>
      <w:r w:rsidRPr="00CC1DEA">
        <w:rPr>
          <w:sz w:val="20"/>
          <w:szCs w:val="20"/>
        </w:rPr>
        <w:t xml:space="preserve">Option 1. Activation </w:t>
      </w:r>
      <w:r w:rsidR="001E0393" w:rsidRPr="00CC1DEA">
        <w:rPr>
          <w:sz w:val="20"/>
          <w:szCs w:val="20"/>
        </w:rPr>
        <w:t>o</w:t>
      </w:r>
      <w:r w:rsidRPr="00CC1DEA">
        <w:rPr>
          <w:sz w:val="20"/>
          <w:szCs w:val="20"/>
        </w:rPr>
        <w:t xml:space="preserve">f UE-side RTT-based PDC is explicitly </w:t>
      </w:r>
      <w:r w:rsidR="009C550C" w:rsidRPr="00CC1DEA">
        <w:rPr>
          <w:sz w:val="20"/>
          <w:szCs w:val="20"/>
        </w:rPr>
        <w:t>indicat</w:t>
      </w:r>
      <w:r w:rsidR="009C550C">
        <w:rPr>
          <w:sz w:val="20"/>
          <w:szCs w:val="20"/>
        </w:rPr>
        <w:t>ed</w:t>
      </w:r>
      <w:r w:rsidR="009C550C" w:rsidRPr="00CC1DEA">
        <w:rPr>
          <w:sz w:val="20"/>
          <w:szCs w:val="20"/>
        </w:rPr>
        <w:t xml:space="preserve"> </w:t>
      </w:r>
      <w:r w:rsidRPr="00CC1DEA">
        <w:rPr>
          <w:sz w:val="20"/>
          <w:szCs w:val="20"/>
        </w:rPr>
        <w:t>along with the Rx-Tx measurement configuration.</w:t>
      </w:r>
    </w:p>
    <w:p w14:paraId="1888928A" w14:textId="1AD4DB13" w:rsidR="001E0393" w:rsidRPr="00CC1DEA" w:rsidRDefault="001E0393" w:rsidP="005240AE">
      <w:pPr>
        <w:pStyle w:val="ListParagraph"/>
        <w:numPr>
          <w:ilvl w:val="0"/>
          <w:numId w:val="21"/>
        </w:numPr>
        <w:jc w:val="both"/>
        <w:rPr>
          <w:sz w:val="20"/>
          <w:szCs w:val="20"/>
        </w:rPr>
      </w:pPr>
      <w:r w:rsidRPr="00CC1DEA">
        <w:rPr>
          <w:sz w:val="20"/>
          <w:szCs w:val="20"/>
        </w:rPr>
        <w:t xml:space="preserve">Option 2. Activation of UE-side RTT-based PDC is implicitly </w:t>
      </w:r>
      <w:r w:rsidR="009C550C" w:rsidRPr="00CC1DEA">
        <w:rPr>
          <w:sz w:val="20"/>
          <w:szCs w:val="20"/>
        </w:rPr>
        <w:t>indicat</w:t>
      </w:r>
      <w:r w:rsidR="009C550C">
        <w:rPr>
          <w:sz w:val="20"/>
          <w:szCs w:val="20"/>
        </w:rPr>
        <w:t>ed</w:t>
      </w:r>
      <w:r w:rsidR="009C550C" w:rsidRPr="00CC1DEA">
        <w:rPr>
          <w:sz w:val="20"/>
          <w:szCs w:val="20"/>
        </w:rPr>
        <w:t xml:space="preserve"> </w:t>
      </w:r>
      <w:r w:rsidRPr="00CC1DEA">
        <w:rPr>
          <w:sz w:val="20"/>
          <w:szCs w:val="20"/>
        </w:rPr>
        <w:t>along with the Rx-Tx measurement configuration.</w:t>
      </w:r>
    </w:p>
    <w:p w14:paraId="77854819" w14:textId="17F8AC61" w:rsidR="001D7032" w:rsidRDefault="001D7032" w:rsidP="005240AE">
      <w:pPr>
        <w:pStyle w:val="ListParagraph"/>
        <w:numPr>
          <w:ilvl w:val="0"/>
          <w:numId w:val="21"/>
        </w:numPr>
        <w:jc w:val="both"/>
        <w:rPr>
          <w:sz w:val="20"/>
          <w:szCs w:val="20"/>
        </w:rPr>
      </w:pPr>
      <w:r w:rsidRPr="00CC1DEA">
        <w:rPr>
          <w:sz w:val="20"/>
          <w:szCs w:val="20"/>
        </w:rPr>
        <w:t xml:space="preserve">Option </w:t>
      </w:r>
      <w:r w:rsidR="001E0393" w:rsidRPr="00CC1DEA">
        <w:rPr>
          <w:sz w:val="20"/>
          <w:szCs w:val="20"/>
        </w:rPr>
        <w:t>3</w:t>
      </w:r>
      <w:r w:rsidRPr="00CC1DEA">
        <w:rPr>
          <w:sz w:val="20"/>
          <w:szCs w:val="20"/>
        </w:rPr>
        <w:t>. Activation of UE-side RTT-based PDC is implicitly indicated along with the Rx-Tx measurement reporting configuration.</w:t>
      </w:r>
    </w:p>
    <w:p w14:paraId="047D4681" w14:textId="77777777" w:rsidR="009211D0" w:rsidRDefault="009211D0" w:rsidP="005240AE">
      <w:pPr>
        <w:keepNext/>
        <w:jc w:val="center"/>
      </w:pPr>
      <w:r>
        <w:rPr>
          <w:noProof/>
        </w:rPr>
        <w:drawing>
          <wp:inline distT="0" distB="0" distL="0" distR="0" wp14:anchorId="16176CAC" wp14:editId="5B7FF0CE">
            <wp:extent cx="3936671" cy="3051611"/>
            <wp:effectExtent l="0" t="0" r="6985"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rotWithShape="1">
                    <a:blip r:embed="rId21">
                      <a:extLst>
                        <a:ext uri="{28A0092B-C50C-407E-A947-70E740481C1C}">
                          <a14:useLocalDpi xmlns:a14="http://schemas.microsoft.com/office/drawing/2010/main" val="0"/>
                        </a:ext>
                      </a:extLst>
                    </a:blip>
                    <a:srcRect r="3929" b="6366"/>
                    <a:stretch/>
                  </pic:blipFill>
                  <pic:spPr bwMode="auto">
                    <a:xfrm>
                      <a:off x="0" y="0"/>
                      <a:ext cx="3967425" cy="3075451"/>
                    </a:xfrm>
                    <a:prstGeom prst="rect">
                      <a:avLst/>
                    </a:prstGeom>
                    <a:ln>
                      <a:noFill/>
                    </a:ln>
                    <a:extLst>
                      <a:ext uri="{53640926-AAD7-44D8-BBD7-CCE9431645EC}">
                        <a14:shadowObscured xmlns:a14="http://schemas.microsoft.com/office/drawing/2010/main"/>
                      </a:ext>
                    </a:extLst>
                  </pic:spPr>
                </pic:pic>
              </a:graphicData>
            </a:graphic>
          </wp:inline>
        </w:drawing>
      </w:r>
    </w:p>
    <w:p w14:paraId="39F9D5F0" w14:textId="394BCF30" w:rsidR="009211D0" w:rsidRPr="00744D85" w:rsidRDefault="009211D0" w:rsidP="005240AE">
      <w:pPr>
        <w:pStyle w:val="Caption"/>
        <w:jc w:val="center"/>
        <w:rPr>
          <w:sz w:val="20"/>
          <w:szCs w:val="20"/>
        </w:rPr>
      </w:pPr>
      <w:r>
        <w:t xml:space="preserve">Figure </w:t>
      </w:r>
      <w:fldSimple w:instr=" SEQ Figure \* ARABIC ">
        <w:r>
          <w:rPr>
            <w:noProof/>
          </w:rPr>
          <w:t>2</w:t>
        </w:r>
      </w:fldSimple>
      <w:r>
        <w:t>. Illustration of three considered options on activating UE-side PDC with Rx-Tx based PDC.</w:t>
      </w:r>
    </w:p>
    <w:p w14:paraId="128C36E0" w14:textId="77777777" w:rsidR="006201F0" w:rsidRPr="00CC1DEA" w:rsidRDefault="006201F0" w:rsidP="005240AE">
      <w:pPr>
        <w:pStyle w:val="ListParagraph"/>
        <w:jc w:val="both"/>
        <w:rPr>
          <w:sz w:val="20"/>
          <w:szCs w:val="20"/>
        </w:rPr>
      </w:pPr>
    </w:p>
    <w:p w14:paraId="06508C86" w14:textId="0F30B9AA" w:rsidR="001D7032" w:rsidRDefault="00D371A7" w:rsidP="005240AE">
      <w:pPr>
        <w:jc w:val="both"/>
      </w:pPr>
      <w:r>
        <w:t xml:space="preserve">Option 1 implies adding an additional bit to RTT based PDC configuration at UE side, </w:t>
      </w:r>
      <w:r w:rsidR="000679EF">
        <w:t>which</w:t>
      </w:r>
      <w:r>
        <w:t xml:space="preserve"> </w:t>
      </w:r>
      <w:r w:rsidR="000679EF">
        <w:t>is then</w:t>
      </w:r>
      <w:r w:rsidR="008A2AA1">
        <w:t xml:space="preserve"> redundant </w:t>
      </w:r>
      <w:r w:rsidR="000679EF">
        <w:t>in</w:t>
      </w:r>
      <w:r w:rsidR="001E0393">
        <w:t xml:space="preserve"> Option 2 where </w:t>
      </w:r>
      <w:r w:rsidR="008A2AA1">
        <w:t xml:space="preserve">the UE </w:t>
      </w:r>
      <w:r w:rsidR="001E0393">
        <w:t>is specified to</w:t>
      </w:r>
      <w:r w:rsidR="008A2AA1">
        <w:t xml:space="preserve"> conduct Rx-Tx </w:t>
      </w:r>
      <w:r w:rsidR="001E0393">
        <w:t>measurements</w:t>
      </w:r>
      <w:r w:rsidR="008A2AA1">
        <w:t xml:space="preserve"> when </w:t>
      </w:r>
      <w:r w:rsidR="001E0393">
        <w:t>configured</w:t>
      </w:r>
      <w:r w:rsidR="008A2AA1">
        <w:t xml:space="preserve">, and not if not configured. An implicit </w:t>
      </w:r>
      <w:r w:rsidR="001E0393">
        <w:t xml:space="preserve">UE-side PDC activation indicator can in principle follow the configuration of RTT based PDC. </w:t>
      </w:r>
      <w:r w:rsidR="00AB29FF">
        <w:t xml:space="preserve">Note that in </w:t>
      </w:r>
      <w:r w:rsidR="001E0393">
        <w:t xml:space="preserve">Option 2 the UE identifies if it should conduct UE-side PDC or not based on whether it is expecting to receive Rx-Tx measurement reports from the gNB, </w:t>
      </w:r>
      <w:r w:rsidR="00AB29FF">
        <w:t xml:space="preserve">while in Option 3 the UE determines if it should conduct PDC based on whether it </w:t>
      </w:r>
      <w:r w:rsidR="00AB29FF">
        <w:lastRenderedPageBreak/>
        <w:t xml:space="preserve">is </w:t>
      </w:r>
      <w:r w:rsidR="001E0393">
        <w:t>ex</w:t>
      </w:r>
      <w:r w:rsidR="00591A8E">
        <w:t>p</w:t>
      </w:r>
      <w:r w:rsidR="001E0393">
        <w:t>ect</w:t>
      </w:r>
      <w:r w:rsidR="00AB29FF">
        <w:t>ed</w:t>
      </w:r>
      <w:r w:rsidR="001E0393">
        <w:t xml:space="preserve"> to transmit Rx-Tx measurements to the gNB</w:t>
      </w:r>
      <w:r w:rsidR="00A2677F">
        <w:t xml:space="preserve"> (if gNB PD pre-compensation is supported for RTT based PDC)</w:t>
      </w:r>
      <w:r w:rsidR="001E0393">
        <w:t xml:space="preserve">. Both </w:t>
      </w:r>
      <w:r w:rsidR="003B0F48">
        <w:t>O</w:t>
      </w:r>
      <w:r w:rsidR="001E0393">
        <w:t xml:space="preserve">ption 2 and 3 seems to us to be sufficient and requires no additional air interface overhead to be standardized and is hence our preferences. </w:t>
      </w:r>
      <w:r w:rsidR="00B46AA1">
        <w:t>If we decide to not support gNB pre-compensation with RTT-based PDC, we prefer Option 2 (</w:t>
      </w:r>
      <w:r w:rsidR="007B6EAA">
        <w:t xml:space="preserve">and will then be </w:t>
      </w:r>
      <w:r w:rsidR="00B46AA1">
        <w:t xml:space="preserve">similar to Option 3), but if it is decided to support gNB pre-compensation our preference is Option 3. </w:t>
      </w:r>
    </w:p>
    <w:p w14:paraId="74B95904" w14:textId="7249FD68" w:rsidR="00B46AA1" w:rsidRDefault="00B46AA1" w:rsidP="005240AE">
      <w:pPr>
        <w:jc w:val="both"/>
        <w:rPr>
          <w:b/>
          <w:bCs/>
        </w:rPr>
      </w:pPr>
      <w:r w:rsidRPr="00AB29FF">
        <w:rPr>
          <w:b/>
          <w:bCs/>
        </w:rPr>
        <w:t xml:space="preserve">Proposal </w:t>
      </w:r>
      <w:r w:rsidR="00A6284E">
        <w:rPr>
          <w:b/>
          <w:bCs/>
        </w:rPr>
        <w:t>6</w:t>
      </w:r>
      <w:r w:rsidR="00CF2198" w:rsidRPr="005240AE">
        <w:rPr>
          <w:b/>
          <w:bCs/>
        </w:rPr>
        <w:t>: Activation of UE-side RTT-based PDC should be implicit and unicast delivered</w:t>
      </w:r>
      <w:r w:rsidR="00B15ED6" w:rsidRPr="005240AE">
        <w:rPr>
          <w:b/>
          <w:bCs/>
        </w:rPr>
        <w:t xml:space="preserve"> and derived by the configuration or reporting framework for Rx-Tx measurements. </w:t>
      </w:r>
    </w:p>
    <w:p w14:paraId="6FD526E2" w14:textId="77777777" w:rsidR="00A86390" w:rsidRDefault="00A86390" w:rsidP="005240AE">
      <w:pPr>
        <w:jc w:val="both"/>
        <w:rPr>
          <w:lang w:val="en-US"/>
        </w:rPr>
      </w:pPr>
    </w:p>
    <w:p w14:paraId="15E0584A" w14:textId="77777777" w:rsidR="006005C8" w:rsidRDefault="006005C8" w:rsidP="006005C8">
      <w:pPr>
        <w:jc w:val="both"/>
        <w:rPr>
          <w:b/>
          <w:bCs/>
          <w:u w:val="single"/>
        </w:rPr>
      </w:pPr>
    </w:p>
    <w:p w14:paraId="753FA0DF" w14:textId="01C70513" w:rsidR="00A86390" w:rsidRDefault="00A6284E" w:rsidP="005240AE">
      <w:pPr>
        <w:jc w:val="both"/>
        <w:rPr>
          <w:lang w:val="en-US"/>
        </w:rPr>
      </w:pPr>
      <w:r>
        <w:rPr>
          <w:b/>
          <w:bCs/>
          <w:u w:val="single"/>
        </w:rPr>
        <w:t>Activation and deactivation signalling with the TA-based PDC</w:t>
      </w:r>
      <w:r w:rsidRPr="009209CE">
        <w:rPr>
          <w:b/>
          <w:bCs/>
          <w:u w:val="single"/>
        </w:rPr>
        <w:t xml:space="preserve"> method</w:t>
      </w:r>
    </w:p>
    <w:p w14:paraId="233FD8B3" w14:textId="6ABD3EB3" w:rsidR="001D7032" w:rsidRPr="001D7032" w:rsidRDefault="00B15ED6" w:rsidP="005240AE">
      <w:pPr>
        <w:jc w:val="both"/>
        <w:rPr>
          <w:lang w:val="en-US"/>
        </w:rPr>
      </w:pPr>
      <w:r>
        <w:rPr>
          <w:lang w:val="en-US"/>
        </w:rPr>
        <w:t>For TA-based PDC</w:t>
      </w:r>
      <w:r w:rsidR="00145F97">
        <w:rPr>
          <w:lang w:val="en-US"/>
        </w:rPr>
        <w:t xml:space="preserve"> as no other configuration of PDC at the UE is needed, a binary explicit indication is needed. From our perspective, thi</w:t>
      </w:r>
      <w:r w:rsidR="00FA332D">
        <w:rPr>
          <w:lang w:val="en-US"/>
        </w:rPr>
        <w:t>s</w:t>
      </w:r>
      <w:r w:rsidR="00145F97">
        <w:rPr>
          <w:lang w:val="en-US"/>
        </w:rPr>
        <w:t xml:space="preserve"> indication should be primar</w:t>
      </w:r>
      <w:r w:rsidR="00AB29FF">
        <w:rPr>
          <w:lang w:val="en-US"/>
        </w:rPr>
        <w:t>ily</w:t>
      </w:r>
      <w:r w:rsidR="00145F97">
        <w:rPr>
          <w:lang w:val="en-US"/>
        </w:rPr>
        <w:t xml:space="preserve"> unicast delivered and only needs to be configured infrequent</w:t>
      </w:r>
      <w:r w:rsidR="00AB29FF">
        <w:rPr>
          <w:lang w:val="en-US"/>
        </w:rPr>
        <w:t>ly</w:t>
      </w:r>
      <w:r w:rsidR="00145F97">
        <w:rPr>
          <w:lang w:val="en-US"/>
        </w:rPr>
        <w:t xml:space="preserve"> (hence options where the indication is delivered with RTI or SIB9 is not preferred).</w:t>
      </w:r>
      <w:r w:rsidR="00956E1A">
        <w:rPr>
          <w:lang w:val="en-US"/>
        </w:rPr>
        <w:t>W</w:t>
      </w:r>
      <w:r w:rsidR="00145F97">
        <w:rPr>
          <w:lang w:val="en-US"/>
        </w:rPr>
        <w:t>e propose to intro</w:t>
      </w:r>
      <w:r w:rsidR="00FA332D">
        <w:rPr>
          <w:lang w:val="en-US"/>
        </w:rPr>
        <w:t>d</w:t>
      </w:r>
      <w:r w:rsidR="00145F97">
        <w:rPr>
          <w:lang w:val="en-US"/>
        </w:rPr>
        <w:t>uce a new</w:t>
      </w:r>
      <w:r w:rsidR="00174290">
        <w:rPr>
          <w:lang w:val="en-US"/>
        </w:rPr>
        <w:t xml:space="preserve"> </w:t>
      </w:r>
      <w:r w:rsidR="00210589">
        <w:rPr>
          <w:lang w:val="en-US"/>
        </w:rPr>
        <w:t xml:space="preserve">PDC-activation </w:t>
      </w:r>
      <w:r w:rsidR="00956E1A">
        <w:rPr>
          <w:lang w:val="en-US"/>
        </w:rPr>
        <w:t xml:space="preserve">RRC </w:t>
      </w:r>
      <w:r w:rsidR="00210589">
        <w:rPr>
          <w:lang w:val="en-US"/>
        </w:rPr>
        <w:t xml:space="preserve">IE of a single </w:t>
      </w:r>
      <w:r w:rsidR="00145F97">
        <w:rPr>
          <w:lang w:val="en-US"/>
        </w:rPr>
        <w:t>b</w:t>
      </w:r>
      <w:r w:rsidR="0007684F">
        <w:rPr>
          <w:lang w:val="en-US"/>
        </w:rPr>
        <w:t>i</w:t>
      </w:r>
      <w:r w:rsidR="00145F97">
        <w:rPr>
          <w:lang w:val="en-US"/>
        </w:rPr>
        <w:t>t</w:t>
      </w:r>
      <w:r w:rsidR="00210589">
        <w:rPr>
          <w:lang w:val="en-US"/>
        </w:rPr>
        <w:t xml:space="preserve"> </w:t>
      </w:r>
      <w:r w:rsidR="00956E1A">
        <w:rPr>
          <w:lang w:val="en-US"/>
        </w:rPr>
        <w:t xml:space="preserve">to </w:t>
      </w:r>
      <w:r w:rsidR="00A86637">
        <w:rPr>
          <w:lang w:val="en-US"/>
        </w:rPr>
        <w:t>activate/deactivate</w:t>
      </w:r>
      <w:r w:rsidR="00210589">
        <w:rPr>
          <w:lang w:val="en-US"/>
        </w:rPr>
        <w:t xml:space="preserve"> UE-side TA-based PDC and</w:t>
      </w:r>
      <w:r w:rsidR="00145F97">
        <w:rPr>
          <w:lang w:val="en-US"/>
        </w:rPr>
        <w:t xml:space="preserve"> to accommodate the agreement</w:t>
      </w:r>
      <w:r w:rsidR="00210589">
        <w:rPr>
          <w:lang w:val="en-US"/>
        </w:rPr>
        <w:t xml:space="preserve"> for a broadcast option, also adding an optional bit to SIB9. </w:t>
      </w:r>
    </w:p>
    <w:p w14:paraId="2F369FD5" w14:textId="4B1A494C" w:rsidR="003C6236" w:rsidRDefault="005F1293" w:rsidP="006005C8">
      <w:pPr>
        <w:jc w:val="both"/>
        <w:rPr>
          <w:b/>
          <w:bCs/>
          <w:lang w:val="en-US"/>
        </w:rPr>
      </w:pPr>
      <w:r w:rsidRPr="00AB29FF">
        <w:rPr>
          <w:b/>
          <w:bCs/>
          <w:lang w:val="en-US"/>
        </w:rPr>
        <w:t xml:space="preserve">Proposal </w:t>
      </w:r>
      <w:r w:rsidR="00A6284E">
        <w:rPr>
          <w:b/>
          <w:bCs/>
          <w:lang w:val="en-US"/>
        </w:rPr>
        <w:t>7</w:t>
      </w:r>
      <w:r w:rsidRPr="00AB29FF">
        <w:rPr>
          <w:b/>
          <w:bCs/>
          <w:lang w:val="en-US"/>
        </w:rPr>
        <w:t>:</w:t>
      </w:r>
      <w:r w:rsidRPr="005240AE">
        <w:rPr>
          <w:b/>
          <w:bCs/>
          <w:lang w:val="en-US"/>
        </w:rPr>
        <w:t xml:space="preserve"> </w:t>
      </w:r>
      <w:r w:rsidR="00A86637" w:rsidRPr="005240AE">
        <w:rPr>
          <w:b/>
          <w:bCs/>
          <w:lang w:val="en-US"/>
        </w:rPr>
        <w:t>Introduce a new RRC IE to activate/deactivate UE-side TA-based PDC for unicast activation/deactivation, and an optional bit in RTI carried over SIB9 for a broad</w:t>
      </w:r>
      <w:r w:rsidR="003E37AB" w:rsidRPr="005240AE">
        <w:rPr>
          <w:b/>
          <w:bCs/>
          <w:lang w:val="en-US"/>
        </w:rPr>
        <w:t>c</w:t>
      </w:r>
      <w:r w:rsidR="00A86637" w:rsidRPr="005240AE">
        <w:rPr>
          <w:b/>
          <w:bCs/>
          <w:lang w:val="en-US"/>
        </w:rPr>
        <w:t>ast</w:t>
      </w:r>
      <w:r w:rsidR="003E37AB" w:rsidRPr="005240AE">
        <w:rPr>
          <w:b/>
          <w:bCs/>
          <w:lang w:val="en-US"/>
        </w:rPr>
        <w:t xml:space="preserve"> activation/deactivation of UE-side TA-based PDC.</w:t>
      </w:r>
      <w:r w:rsidR="00A86637" w:rsidRPr="005240AE">
        <w:rPr>
          <w:b/>
          <w:bCs/>
          <w:lang w:val="en-US"/>
        </w:rPr>
        <w:t xml:space="preserve"> </w:t>
      </w:r>
    </w:p>
    <w:p w14:paraId="705C7AA7" w14:textId="77777777" w:rsidR="006005C8" w:rsidRPr="005240AE" w:rsidRDefault="006005C8" w:rsidP="005240AE">
      <w:pPr>
        <w:jc w:val="both"/>
        <w:rPr>
          <w:b/>
          <w:bCs/>
          <w:lang w:val="en-US"/>
        </w:rPr>
      </w:pPr>
    </w:p>
    <w:p w14:paraId="5FF2457F" w14:textId="4A7AC692" w:rsidR="00A209D6" w:rsidRPr="006E13D1" w:rsidRDefault="006005C8" w:rsidP="005240AE">
      <w:pPr>
        <w:pStyle w:val="Heading1"/>
        <w:jc w:val="both"/>
      </w:pPr>
      <w:r>
        <w:t>3</w:t>
      </w:r>
      <w:r w:rsidR="00A209D6" w:rsidRPr="006E13D1">
        <w:tab/>
      </w:r>
      <w:r w:rsidR="008C3057">
        <w:t>Conclusion</w:t>
      </w:r>
    </w:p>
    <w:p w14:paraId="60449C3F" w14:textId="71B90FF6" w:rsidR="00A209D6" w:rsidRPr="006E13D1" w:rsidRDefault="00F954A7" w:rsidP="005240AE">
      <w:pPr>
        <w:jc w:val="both"/>
      </w:pPr>
      <w:r>
        <w:t>In this t-doc we have discussed</w:t>
      </w:r>
      <w:r w:rsidR="00405654">
        <w:t xml:space="preserve"> and analysed different</w:t>
      </w:r>
      <w:r>
        <w:t xml:space="preserve"> </w:t>
      </w:r>
      <w:r w:rsidR="003E2F9A">
        <w:t>design options for the Rx-Tx measurement reporting framework as well as the activation and deactivation framework for UE-side PDC. We have made the following observations and proposals:</w:t>
      </w:r>
    </w:p>
    <w:p w14:paraId="729A0040" w14:textId="44677118" w:rsidR="003E2F9A" w:rsidRDefault="00405654" w:rsidP="005240AE">
      <w:pPr>
        <w:jc w:val="both"/>
        <w:rPr>
          <w:b/>
          <w:bCs/>
        </w:rPr>
      </w:pPr>
      <w:r w:rsidRPr="003E2F9A">
        <w:rPr>
          <w:b/>
          <w:bCs/>
        </w:rPr>
        <w:t>Observation 1</w:t>
      </w:r>
      <w:r w:rsidRPr="009209CE">
        <w:rPr>
          <w:b/>
          <w:bCs/>
        </w:rPr>
        <w:t>: RAN2 to consider two PDC methods as per RAN1 agreements.</w:t>
      </w:r>
    </w:p>
    <w:p w14:paraId="0B268C3B" w14:textId="184D9000" w:rsidR="003E2F9A" w:rsidRDefault="003E2F9A" w:rsidP="005240AE">
      <w:pPr>
        <w:jc w:val="both"/>
        <w:rPr>
          <w:b/>
          <w:bCs/>
        </w:rPr>
      </w:pPr>
      <w:r w:rsidRPr="0018585C">
        <w:rPr>
          <w:b/>
          <w:bCs/>
        </w:rPr>
        <w:t>Observation 2</w:t>
      </w:r>
      <w:r w:rsidRPr="00F954A7">
        <w:rPr>
          <w:b/>
          <w:bCs/>
        </w:rPr>
        <w:t>: No technical benefits</w:t>
      </w:r>
      <w:r>
        <w:rPr>
          <w:b/>
          <w:bCs/>
        </w:rPr>
        <w:t xml:space="preserve"> can be</w:t>
      </w:r>
      <w:r w:rsidRPr="00F954A7">
        <w:rPr>
          <w:b/>
          <w:bCs/>
        </w:rPr>
        <w:t xml:space="preserve"> identified with gNB PD pre-compensation despite the drawbacks of </w:t>
      </w:r>
      <w:r>
        <w:rPr>
          <w:b/>
          <w:bCs/>
        </w:rPr>
        <w:t>heavier</w:t>
      </w:r>
      <w:r w:rsidRPr="00F954A7">
        <w:rPr>
          <w:b/>
          <w:bCs/>
        </w:rPr>
        <w:t xml:space="preserve"> air interface overhead and need for unicast delivery of RTI.</w:t>
      </w:r>
    </w:p>
    <w:p w14:paraId="17568F62" w14:textId="1E35A5CE" w:rsidR="003E2F9A" w:rsidRDefault="003E2F9A" w:rsidP="005240AE">
      <w:pPr>
        <w:jc w:val="both"/>
        <w:rPr>
          <w:b/>
          <w:bCs/>
        </w:rPr>
      </w:pPr>
      <w:r w:rsidRPr="00361078">
        <w:rPr>
          <w:b/>
          <w:bCs/>
        </w:rPr>
        <w:t>Proposal 1</w:t>
      </w:r>
      <w:r w:rsidRPr="00F954A7">
        <w:rPr>
          <w:b/>
          <w:bCs/>
        </w:rPr>
        <w:t>: RAN2 should focus on UE-side PDC only</w:t>
      </w:r>
      <w:r>
        <w:rPr>
          <w:b/>
          <w:bCs/>
        </w:rPr>
        <w:t xml:space="preserve"> for Rel-17 specification</w:t>
      </w:r>
      <w:r w:rsidRPr="00F954A7">
        <w:rPr>
          <w:b/>
          <w:bCs/>
        </w:rPr>
        <w:t xml:space="preserve">. </w:t>
      </w:r>
    </w:p>
    <w:p w14:paraId="25785240" w14:textId="38C5CD02" w:rsidR="003E2F9A" w:rsidRDefault="003E2F9A" w:rsidP="005240AE">
      <w:pPr>
        <w:jc w:val="both"/>
        <w:rPr>
          <w:b/>
          <w:bCs/>
        </w:rPr>
      </w:pPr>
      <w:r w:rsidRPr="00361078">
        <w:rPr>
          <w:b/>
          <w:bCs/>
        </w:rPr>
        <w:t>Proposal 2</w:t>
      </w:r>
      <w:r w:rsidRPr="00744D85">
        <w:rPr>
          <w:b/>
          <w:bCs/>
        </w:rPr>
        <w:t>: RAN2 only needs to support Rx-Tx measurement report from gNB to UE for RTT based PDC.</w:t>
      </w:r>
    </w:p>
    <w:p w14:paraId="702BA43C" w14:textId="4ABF3C47" w:rsidR="003E2F9A" w:rsidRDefault="003E2F9A" w:rsidP="005240AE">
      <w:pPr>
        <w:jc w:val="both"/>
        <w:rPr>
          <w:b/>
          <w:bCs/>
        </w:rPr>
      </w:pPr>
      <w:r w:rsidRPr="00FF6C17">
        <w:rPr>
          <w:b/>
          <w:bCs/>
        </w:rPr>
        <w:t>Proposal 3</w:t>
      </w:r>
      <w:r w:rsidRPr="00744D85">
        <w:rPr>
          <w:b/>
          <w:bCs/>
        </w:rPr>
        <w:t xml:space="preserve">: UE combines the </w:t>
      </w:r>
      <w:r>
        <w:rPr>
          <w:b/>
          <w:bCs/>
        </w:rPr>
        <w:t xml:space="preserve">latest </w:t>
      </w:r>
      <w:r w:rsidRPr="00744D85">
        <w:rPr>
          <w:b/>
          <w:bCs/>
        </w:rPr>
        <w:t>received gNB Rx-Tx measurement with the latest UE Rx-Tx measurement</w:t>
      </w:r>
    </w:p>
    <w:p w14:paraId="681A3C57" w14:textId="3DD5B64B" w:rsidR="003E2F9A" w:rsidRDefault="003E2F9A" w:rsidP="005240AE">
      <w:pPr>
        <w:jc w:val="both"/>
        <w:rPr>
          <w:b/>
          <w:bCs/>
        </w:rPr>
      </w:pPr>
      <w:r w:rsidRPr="0045745A">
        <w:rPr>
          <w:b/>
          <w:bCs/>
        </w:rPr>
        <w:t>Proposal 4</w:t>
      </w:r>
      <w:r w:rsidRPr="00744D85">
        <w:rPr>
          <w:b/>
          <w:bCs/>
        </w:rPr>
        <w:t>: RAN2 to adopt the RAN1 agreement to deliver Rx-Tx measurements over RRC.</w:t>
      </w:r>
    </w:p>
    <w:p w14:paraId="56181553" w14:textId="1E1C047A" w:rsidR="003E2F9A" w:rsidRDefault="003E2F9A" w:rsidP="005240AE">
      <w:pPr>
        <w:jc w:val="both"/>
        <w:rPr>
          <w:b/>
          <w:bCs/>
        </w:rPr>
      </w:pPr>
      <w:r>
        <w:rPr>
          <w:b/>
          <w:bCs/>
        </w:rPr>
        <w:t>Proposal 5: Support only a unicast activation/deactivation of UE-side PDC for Rx-Tx based PDC. A broadcast</w:t>
      </w:r>
      <w:r w:rsidR="00AC597A">
        <w:rPr>
          <w:b/>
          <w:bCs/>
        </w:rPr>
        <w:t>ed</w:t>
      </w:r>
      <w:r>
        <w:rPr>
          <w:b/>
          <w:bCs/>
        </w:rPr>
        <w:t xml:space="preserve"> activation/deactivation mechanism is redundant for the Rx-Tx based PDC method which anyway needs to be configured on each UE.</w:t>
      </w:r>
    </w:p>
    <w:p w14:paraId="7734C2E8" w14:textId="67F250F1" w:rsidR="003E2F9A" w:rsidRPr="005240AE" w:rsidRDefault="003E2F9A" w:rsidP="005240AE">
      <w:pPr>
        <w:jc w:val="both"/>
        <w:rPr>
          <w:b/>
        </w:rPr>
      </w:pPr>
      <w:r w:rsidRPr="00AB29FF">
        <w:rPr>
          <w:b/>
          <w:bCs/>
        </w:rPr>
        <w:t xml:space="preserve">Proposal </w:t>
      </w:r>
      <w:r>
        <w:rPr>
          <w:b/>
          <w:bCs/>
        </w:rPr>
        <w:t>6</w:t>
      </w:r>
      <w:r w:rsidRPr="009209CE">
        <w:rPr>
          <w:b/>
          <w:bCs/>
        </w:rPr>
        <w:t xml:space="preserve">: Activation of UE-side RTT-based PDC should be implicit and unicast delivered and derived by the configuration or reporting framework for Rx-Tx measurements. </w:t>
      </w:r>
    </w:p>
    <w:p w14:paraId="2E121551" w14:textId="050A4CE6" w:rsidR="003E2F9A" w:rsidRPr="009209CE" w:rsidRDefault="003E2F9A" w:rsidP="005240AE">
      <w:pPr>
        <w:jc w:val="both"/>
        <w:rPr>
          <w:b/>
          <w:bCs/>
          <w:lang w:val="en-US"/>
        </w:rPr>
      </w:pPr>
      <w:r w:rsidRPr="00AB29FF">
        <w:rPr>
          <w:b/>
          <w:bCs/>
          <w:lang w:val="en-US"/>
        </w:rPr>
        <w:t xml:space="preserve">Proposal </w:t>
      </w:r>
      <w:r>
        <w:rPr>
          <w:b/>
          <w:bCs/>
          <w:lang w:val="en-US"/>
        </w:rPr>
        <w:t>7</w:t>
      </w:r>
      <w:r w:rsidRPr="00AB29FF">
        <w:rPr>
          <w:b/>
          <w:bCs/>
          <w:lang w:val="en-US"/>
        </w:rPr>
        <w:t>:</w:t>
      </w:r>
      <w:r w:rsidRPr="009209CE">
        <w:rPr>
          <w:b/>
          <w:bCs/>
          <w:lang w:val="en-US"/>
        </w:rPr>
        <w:t xml:space="preserve"> Introduce a new RRC IE to activate/deactivate UE-side TA-based PDC for unicast activation/deactivation, and an optional bit in RTI carried over SIB9 for a broadcast activation/deactivation of UE-side TA-based PDC. </w:t>
      </w:r>
    </w:p>
    <w:p w14:paraId="71E52C0C" w14:textId="77777777" w:rsidR="003E2F9A" w:rsidRPr="005240AE" w:rsidRDefault="003E2F9A" w:rsidP="005240AE">
      <w:pPr>
        <w:jc w:val="both"/>
        <w:rPr>
          <w:lang w:val="en-US"/>
        </w:rPr>
      </w:pPr>
    </w:p>
    <w:p w14:paraId="432B0A82" w14:textId="77777777" w:rsidR="00A209D6" w:rsidRDefault="00A209D6" w:rsidP="005240AE">
      <w:pPr>
        <w:jc w:val="both"/>
      </w:pPr>
    </w:p>
    <w:p w14:paraId="653EED19" w14:textId="77777777" w:rsidR="00A209D6" w:rsidRPr="00CD4C7B" w:rsidRDefault="00A209D6" w:rsidP="005240AE">
      <w:pPr>
        <w:jc w:val="both"/>
      </w:pPr>
    </w:p>
    <w:p w14:paraId="35F222F4" w14:textId="77777777" w:rsidR="00080512" w:rsidRPr="00A209D6" w:rsidRDefault="00080512" w:rsidP="005240AE">
      <w:pPr>
        <w:jc w:val="both"/>
      </w:pPr>
    </w:p>
    <w:sectPr w:rsidR="0008051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6331F" w14:textId="77777777" w:rsidR="00D43DB3" w:rsidRDefault="00D43DB3">
      <w:r>
        <w:separator/>
      </w:r>
    </w:p>
  </w:endnote>
  <w:endnote w:type="continuationSeparator" w:id="0">
    <w:p w14:paraId="60835938" w14:textId="77777777" w:rsidR="00D43DB3" w:rsidRDefault="00D43DB3">
      <w:r>
        <w:continuationSeparator/>
      </w:r>
    </w:p>
  </w:endnote>
  <w:endnote w:type="continuationNotice" w:id="1">
    <w:p w14:paraId="40707CC3" w14:textId="77777777" w:rsidR="00D43DB3" w:rsidRDefault="00D43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43DB3" w:rsidRDefault="00D43D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43DB3" w:rsidRDefault="00D43D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43DB3" w:rsidRDefault="00D4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2E07F" w14:textId="77777777" w:rsidR="00D43DB3" w:rsidRDefault="00D43DB3">
      <w:r>
        <w:separator/>
      </w:r>
    </w:p>
  </w:footnote>
  <w:footnote w:type="continuationSeparator" w:id="0">
    <w:p w14:paraId="26D33019" w14:textId="77777777" w:rsidR="00D43DB3" w:rsidRDefault="00D43DB3">
      <w:r>
        <w:continuationSeparator/>
      </w:r>
    </w:p>
  </w:footnote>
  <w:footnote w:type="continuationNotice" w:id="1">
    <w:p w14:paraId="1BDD24DC" w14:textId="77777777" w:rsidR="00D43DB3" w:rsidRDefault="00D43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43DB3" w:rsidRDefault="00D43D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43DB3" w:rsidRDefault="00D43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43DB3" w:rsidRDefault="00D43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DD7"/>
    <w:multiLevelType w:val="hybridMultilevel"/>
    <w:tmpl w:val="AF141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7AE013F"/>
    <w:multiLevelType w:val="hybridMultilevel"/>
    <w:tmpl w:val="EA22B888"/>
    <w:lvl w:ilvl="0" w:tplc="55DEA2FA">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2A8B4097"/>
    <w:multiLevelType w:val="hybridMultilevel"/>
    <w:tmpl w:val="5A68D142"/>
    <w:lvl w:ilvl="0" w:tplc="91445B52">
      <w:start w:val="1"/>
      <w:numFmt w:val="decimal"/>
      <w:lvlText w:val="%1."/>
      <w:lvlJc w:val="left"/>
      <w:pPr>
        <w:tabs>
          <w:tab w:val="num" w:pos="720"/>
        </w:tabs>
        <w:ind w:left="720" w:hanging="360"/>
      </w:pPr>
    </w:lvl>
    <w:lvl w:ilvl="1" w:tplc="B33ED6F0" w:tentative="1">
      <w:start w:val="1"/>
      <w:numFmt w:val="decimal"/>
      <w:lvlText w:val="%2."/>
      <w:lvlJc w:val="left"/>
      <w:pPr>
        <w:tabs>
          <w:tab w:val="num" w:pos="1440"/>
        </w:tabs>
        <w:ind w:left="1440" w:hanging="360"/>
      </w:pPr>
    </w:lvl>
    <w:lvl w:ilvl="2" w:tplc="567E877E" w:tentative="1">
      <w:start w:val="1"/>
      <w:numFmt w:val="decimal"/>
      <w:lvlText w:val="%3."/>
      <w:lvlJc w:val="left"/>
      <w:pPr>
        <w:tabs>
          <w:tab w:val="num" w:pos="2160"/>
        </w:tabs>
        <w:ind w:left="2160" w:hanging="360"/>
      </w:pPr>
    </w:lvl>
    <w:lvl w:ilvl="3" w:tplc="5D7A9400" w:tentative="1">
      <w:start w:val="1"/>
      <w:numFmt w:val="decimal"/>
      <w:lvlText w:val="%4."/>
      <w:lvlJc w:val="left"/>
      <w:pPr>
        <w:tabs>
          <w:tab w:val="num" w:pos="2880"/>
        </w:tabs>
        <w:ind w:left="2880" w:hanging="360"/>
      </w:pPr>
    </w:lvl>
    <w:lvl w:ilvl="4" w:tplc="5FB08240" w:tentative="1">
      <w:start w:val="1"/>
      <w:numFmt w:val="decimal"/>
      <w:lvlText w:val="%5."/>
      <w:lvlJc w:val="left"/>
      <w:pPr>
        <w:tabs>
          <w:tab w:val="num" w:pos="3600"/>
        </w:tabs>
        <w:ind w:left="3600" w:hanging="360"/>
      </w:pPr>
    </w:lvl>
    <w:lvl w:ilvl="5" w:tplc="545E1566" w:tentative="1">
      <w:start w:val="1"/>
      <w:numFmt w:val="decimal"/>
      <w:lvlText w:val="%6."/>
      <w:lvlJc w:val="left"/>
      <w:pPr>
        <w:tabs>
          <w:tab w:val="num" w:pos="4320"/>
        </w:tabs>
        <w:ind w:left="4320" w:hanging="360"/>
      </w:pPr>
    </w:lvl>
    <w:lvl w:ilvl="6" w:tplc="5F18AAFE" w:tentative="1">
      <w:start w:val="1"/>
      <w:numFmt w:val="decimal"/>
      <w:lvlText w:val="%7."/>
      <w:lvlJc w:val="left"/>
      <w:pPr>
        <w:tabs>
          <w:tab w:val="num" w:pos="5040"/>
        </w:tabs>
        <w:ind w:left="5040" w:hanging="360"/>
      </w:pPr>
    </w:lvl>
    <w:lvl w:ilvl="7" w:tplc="70FABCC0" w:tentative="1">
      <w:start w:val="1"/>
      <w:numFmt w:val="decimal"/>
      <w:lvlText w:val="%8."/>
      <w:lvlJc w:val="left"/>
      <w:pPr>
        <w:tabs>
          <w:tab w:val="num" w:pos="5760"/>
        </w:tabs>
        <w:ind w:left="5760" w:hanging="360"/>
      </w:pPr>
    </w:lvl>
    <w:lvl w:ilvl="8" w:tplc="A64635B6" w:tentative="1">
      <w:start w:val="1"/>
      <w:numFmt w:val="decimal"/>
      <w:lvlText w:val="%9."/>
      <w:lvlJc w:val="left"/>
      <w:pPr>
        <w:tabs>
          <w:tab w:val="num" w:pos="6480"/>
        </w:tabs>
        <w:ind w:left="6480" w:hanging="36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297226"/>
    <w:multiLevelType w:val="hybridMultilevel"/>
    <w:tmpl w:val="0D8CF06A"/>
    <w:lvl w:ilvl="0" w:tplc="B464DAC8">
      <w:start w:val="1"/>
      <w:numFmt w:val="lowerLetter"/>
      <w:lvlText w:val="%1."/>
      <w:lvlJc w:val="left"/>
      <w:pPr>
        <w:ind w:left="770" w:hanging="360"/>
      </w:pPr>
      <w:rPr>
        <w:rFonts w:hint="default"/>
        <w:sz w:val="20"/>
        <w:szCs w:val="20"/>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417B5F7F"/>
    <w:multiLevelType w:val="hybridMultilevel"/>
    <w:tmpl w:val="F5A43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0DE0FB2"/>
    <w:multiLevelType w:val="multilevel"/>
    <w:tmpl w:val="BD7E03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D333EB"/>
    <w:multiLevelType w:val="hybridMultilevel"/>
    <w:tmpl w:val="FB965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4D104E"/>
    <w:multiLevelType w:val="hybridMultilevel"/>
    <w:tmpl w:val="5B2ACF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3"/>
  </w:num>
  <w:num w:numId="7">
    <w:abstractNumId w:val="14"/>
  </w:num>
  <w:num w:numId="8">
    <w:abstractNumId w:val="7"/>
  </w:num>
  <w:num w:numId="9">
    <w:abstractNumId w:val="18"/>
  </w:num>
  <w:num w:numId="10">
    <w:abstractNumId w:val="3"/>
  </w:num>
  <w:num w:numId="11">
    <w:abstractNumId w:val="3"/>
  </w:num>
  <w:num w:numId="12">
    <w:abstractNumId w:val="12"/>
  </w:num>
  <w:num w:numId="13">
    <w:abstractNumId w:val="16"/>
  </w:num>
  <w:num w:numId="14">
    <w:abstractNumId w:val="4"/>
  </w:num>
  <w:num w:numId="15">
    <w:abstractNumId w:val="16"/>
  </w:num>
  <w:num w:numId="16">
    <w:abstractNumId w:val="5"/>
  </w:num>
  <w:num w:numId="17">
    <w:abstractNumId w:val="17"/>
  </w:num>
  <w:num w:numId="18">
    <w:abstractNumId w:val="6"/>
  </w:num>
  <w:num w:numId="19">
    <w:abstractNumId w:val="10"/>
  </w:num>
  <w:num w:numId="20">
    <w:abstractNumId w:val="2"/>
  </w:num>
  <w:num w:numId="21">
    <w:abstractNumId w:val="1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2"/>
    <w:rsid w:val="00007575"/>
    <w:rsid w:val="00010D07"/>
    <w:rsid w:val="00011128"/>
    <w:rsid w:val="00015DFF"/>
    <w:rsid w:val="00016557"/>
    <w:rsid w:val="00023C40"/>
    <w:rsid w:val="00033397"/>
    <w:rsid w:val="00040095"/>
    <w:rsid w:val="00041203"/>
    <w:rsid w:val="00043E89"/>
    <w:rsid w:val="00052781"/>
    <w:rsid w:val="00065268"/>
    <w:rsid w:val="000679EF"/>
    <w:rsid w:val="00073C9C"/>
    <w:rsid w:val="0007684F"/>
    <w:rsid w:val="00080512"/>
    <w:rsid w:val="000902A8"/>
    <w:rsid w:val="00090468"/>
    <w:rsid w:val="00094568"/>
    <w:rsid w:val="000B7BCF"/>
    <w:rsid w:val="000C522B"/>
    <w:rsid w:val="000D1F56"/>
    <w:rsid w:val="000D58AB"/>
    <w:rsid w:val="000D792B"/>
    <w:rsid w:val="000F3948"/>
    <w:rsid w:val="001079F2"/>
    <w:rsid w:val="00112F1A"/>
    <w:rsid w:val="00115CB2"/>
    <w:rsid w:val="001162CA"/>
    <w:rsid w:val="00122B9A"/>
    <w:rsid w:val="0012460F"/>
    <w:rsid w:val="001248F3"/>
    <w:rsid w:val="00125EFC"/>
    <w:rsid w:val="001367C4"/>
    <w:rsid w:val="00145075"/>
    <w:rsid w:val="00145A6C"/>
    <w:rsid w:val="00145F97"/>
    <w:rsid w:val="0016326B"/>
    <w:rsid w:val="001741A0"/>
    <w:rsid w:val="00174290"/>
    <w:rsid w:val="00175FA0"/>
    <w:rsid w:val="001837DC"/>
    <w:rsid w:val="0018585C"/>
    <w:rsid w:val="00193BB2"/>
    <w:rsid w:val="00194CD0"/>
    <w:rsid w:val="001A05B4"/>
    <w:rsid w:val="001A1AB6"/>
    <w:rsid w:val="001A3A3A"/>
    <w:rsid w:val="001B1D28"/>
    <w:rsid w:val="001B49C9"/>
    <w:rsid w:val="001B4E43"/>
    <w:rsid w:val="001B6DB6"/>
    <w:rsid w:val="001C23F4"/>
    <w:rsid w:val="001C4F79"/>
    <w:rsid w:val="001D7032"/>
    <w:rsid w:val="001E0393"/>
    <w:rsid w:val="001E51FB"/>
    <w:rsid w:val="001F168B"/>
    <w:rsid w:val="001F7831"/>
    <w:rsid w:val="00204045"/>
    <w:rsid w:val="0020647A"/>
    <w:rsid w:val="002068AE"/>
    <w:rsid w:val="0020712B"/>
    <w:rsid w:val="00210589"/>
    <w:rsid w:val="00223E08"/>
    <w:rsid w:val="0022606D"/>
    <w:rsid w:val="00231728"/>
    <w:rsid w:val="00236DED"/>
    <w:rsid w:val="00244A05"/>
    <w:rsid w:val="002467C6"/>
    <w:rsid w:val="00250404"/>
    <w:rsid w:val="002610D8"/>
    <w:rsid w:val="0026464F"/>
    <w:rsid w:val="002723BD"/>
    <w:rsid w:val="002747EC"/>
    <w:rsid w:val="00280617"/>
    <w:rsid w:val="00280EE7"/>
    <w:rsid w:val="00284DC0"/>
    <w:rsid w:val="002855BF"/>
    <w:rsid w:val="0029467F"/>
    <w:rsid w:val="002B0ED8"/>
    <w:rsid w:val="002B6AB6"/>
    <w:rsid w:val="002C10A8"/>
    <w:rsid w:val="002E0ECE"/>
    <w:rsid w:val="002E3BEA"/>
    <w:rsid w:val="002F0D22"/>
    <w:rsid w:val="00306AB2"/>
    <w:rsid w:val="00306CAF"/>
    <w:rsid w:val="00311B17"/>
    <w:rsid w:val="003172DC"/>
    <w:rsid w:val="00325AE3"/>
    <w:rsid w:val="00326069"/>
    <w:rsid w:val="00340163"/>
    <w:rsid w:val="00344ADF"/>
    <w:rsid w:val="0035462D"/>
    <w:rsid w:val="00361078"/>
    <w:rsid w:val="0036459E"/>
    <w:rsid w:val="00364B41"/>
    <w:rsid w:val="00383096"/>
    <w:rsid w:val="003837E2"/>
    <w:rsid w:val="00387E47"/>
    <w:rsid w:val="0039346C"/>
    <w:rsid w:val="003A41EF"/>
    <w:rsid w:val="003B0F48"/>
    <w:rsid w:val="003B40AD"/>
    <w:rsid w:val="003C4E37"/>
    <w:rsid w:val="003C6236"/>
    <w:rsid w:val="003E16BE"/>
    <w:rsid w:val="003E2F9A"/>
    <w:rsid w:val="003E37AB"/>
    <w:rsid w:val="003F4E28"/>
    <w:rsid w:val="004006E8"/>
    <w:rsid w:val="00401855"/>
    <w:rsid w:val="00405654"/>
    <w:rsid w:val="00414785"/>
    <w:rsid w:val="0045745A"/>
    <w:rsid w:val="00465587"/>
    <w:rsid w:val="00477455"/>
    <w:rsid w:val="0048255A"/>
    <w:rsid w:val="0048529A"/>
    <w:rsid w:val="004A1F7B"/>
    <w:rsid w:val="004B6893"/>
    <w:rsid w:val="004B79E2"/>
    <w:rsid w:val="004C44D2"/>
    <w:rsid w:val="004D3578"/>
    <w:rsid w:val="004D380D"/>
    <w:rsid w:val="004D5393"/>
    <w:rsid w:val="004E213A"/>
    <w:rsid w:val="004F4540"/>
    <w:rsid w:val="004F73A7"/>
    <w:rsid w:val="00500920"/>
    <w:rsid w:val="00503171"/>
    <w:rsid w:val="00504E04"/>
    <w:rsid w:val="00506BA4"/>
    <w:rsid w:val="00506C28"/>
    <w:rsid w:val="0051543B"/>
    <w:rsid w:val="005240AE"/>
    <w:rsid w:val="00534DA0"/>
    <w:rsid w:val="00534FAB"/>
    <w:rsid w:val="00540C6A"/>
    <w:rsid w:val="00542CEA"/>
    <w:rsid w:val="00543E6C"/>
    <w:rsid w:val="00565087"/>
    <w:rsid w:val="0056573F"/>
    <w:rsid w:val="00571279"/>
    <w:rsid w:val="00580F8E"/>
    <w:rsid w:val="00581F43"/>
    <w:rsid w:val="0058676C"/>
    <w:rsid w:val="00591A8E"/>
    <w:rsid w:val="005A49C6"/>
    <w:rsid w:val="005B1805"/>
    <w:rsid w:val="005B3479"/>
    <w:rsid w:val="005B65EC"/>
    <w:rsid w:val="005C7CD5"/>
    <w:rsid w:val="005E35A4"/>
    <w:rsid w:val="005F1293"/>
    <w:rsid w:val="006005C8"/>
    <w:rsid w:val="00611566"/>
    <w:rsid w:val="006201F0"/>
    <w:rsid w:val="00631AF0"/>
    <w:rsid w:val="00636EAF"/>
    <w:rsid w:val="00644E0B"/>
    <w:rsid w:val="00646D99"/>
    <w:rsid w:val="00656910"/>
    <w:rsid w:val="006574C0"/>
    <w:rsid w:val="00677E66"/>
    <w:rsid w:val="00696821"/>
    <w:rsid w:val="006C0BA7"/>
    <w:rsid w:val="006C5199"/>
    <w:rsid w:val="006C66D8"/>
    <w:rsid w:val="006D1E24"/>
    <w:rsid w:val="006D34EE"/>
    <w:rsid w:val="006D35DE"/>
    <w:rsid w:val="006D495C"/>
    <w:rsid w:val="006E1057"/>
    <w:rsid w:val="006E1417"/>
    <w:rsid w:val="006E5554"/>
    <w:rsid w:val="006F6A2C"/>
    <w:rsid w:val="006F7C1D"/>
    <w:rsid w:val="007069DC"/>
    <w:rsid w:val="00710201"/>
    <w:rsid w:val="0072073A"/>
    <w:rsid w:val="007342B5"/>
    <w:rsid w:val="00734A5B"/>
    <w:rsid w:val="00742E77"/>
    <w:rsid w:val="00742EE2"/>
    <w:rsid w:val="0074373F"/>
    <w:rsid w:val="00744D85"/>
    <w:rsid w:val="00744E76"/>
    <w:rsid w:val="0075191B"/>
    <w:rsid w:val="00757D40"/>
    <w:rsid w:val="007662B5"/>
    <w:rsid w:val="00770269"/>
    <w:rsid w:val="00777250"/>
    <w:rsid w:val="00781F0F"/>
    <w:rsid w:val="00785B56"/>
    <w:rsid w:val="0078727C"/>
    <w:rsid w:val="0079049D"/>
    <w:rsid w:val="00793419"/>
    <w:rsid w:val="00793DC5"/>
    <w:rsid w:val="00796823"/>
    <w:rsid w:val="007A2E55"/>
    <w:rsid w:val="007B18D8"/>
    <w:rsid w:val="007B6EAA"/>
    <w:rsid w:val="007C095F"/>
    <w:rsid w:val="007C2DD0"/>
    <w:rsid w:val="007C7AD4"/>
    <w:rsid w:val="007D729C"/>
    <w:rsid w:val="007E6C21"/>
    <w:rsid w:val="007F2E08"/>
    <w:rsid w:val="007F368C"/>
    <w:rsid w:val="008028A4"/>
    <w:rsid w:val="00810F37"/>
    <w:rsid w:val="00811661"/>
    <w:rsid w:val="0081203B"/>
    <w:rsid w:val="00813245"/>
    <w:rsid w:val="00840DE0"/>
    <w:rsid w:val="008607A8"/>
    <w:rsid w:val="008628F5"/>
    <w:rsid w:val="0086354A"/>
    <w:rsid w:val="00872C2B"/>
    <w:rsid w:val="008768CA"/>
    <w:rsid w:val="00877EF9"/>
    <w:rsid w:val="00880559"/>
    <w:rsid w:val="008807CD"/>
    <w:rsid w:val="00884611"/>
    <w:rsid w:val="00885F21"/>
    <w:rsid w:val="00892EF1"/>
    <w:rsid w:val="008A0FAE"/>
    <w:rsid w:val="008A2AA1"/>
    <w:rsid w:val="008B5306"/>
    <w:rsid w:val="008C2E2A"/>
    <w:rsid w:val="008C3057"/>
    <w:rsid w:val="008D2E4D"/>
    <w:rsid w:val="008D74A1"/>
    <w:rsid w:val="008F396F"/>
    <w:rsid w:val="008F3DCD"/>
    <w:rsid w:val="008F776A"/>
    <w:rsid w:val="0090271F"/>
    <w:rsid w:val="00902C66"/>
    <w:rsid w:val="00902DB9"/>
    <w:rsid w:val="0090466A"/>
    <w:rsid w:val="009211D0"/>
    <w:rsid w:val="00923655"/>
    <w:rsid w:val="0092385A"/>
    <w:rsid w:val="00931873"/>
    <w:rsid w:val="00932652"/>
    <w:rsid w:val="00936071"/>
    <w:rsid w:val="009376CD"/>
    <w:rsid w:val="00940212"/>
    <w:rsid w:val="00940AF5"/>
    <w:rsid w:val="00941C85"/>
    <w:rsid w:val="00942EC2"/>
    <w:rsid w:val="00954F99"/>
    <w:rsid w:val="00956E1A"/>
    <w:rsid w:val="00961B32"/>
    <w:rsid w:val="00962509"/>
    <w:rsid w:val="00970DB3"/>
    <w:rsid w:val="00974BB0"/>
    <w:rsid w:val="00975BCD"/>
    <w:rsid w:val="009928A9"/>
    <w:rsid w:val="009A0AF3"/>
    <w:rsid w:val="009B07CD"/>
    <w:rsid w:val="009C19E9"/>
    <w:rsid w:val="009C3E2C"/>
    <w:rsid w:val="009C550C"/>
    <w:rsid w:val="009C746B"/>
    <w:rsid w:val="009D74A6"/>
    <w:rsid w:val="009E0E87"/>
    <w:rsid w:val="009E49BA"/>
    <w:rsid w:val="009F23BF"/>
    <w:rsid w:val="00A10F02"/>
    <w:rsid w:val="00A204CA"/>
    <w:rsid w:val="00A209D6"/>
    <w:rsid w:val="00A22738"/>
    <w:rsid w:val="00A2677F"/>
    <w:rsid w:val="00A30A25"/>
    <w:rsid w:val="00A34005"/>
    <w:rsid w:val="00A36F5F"/>
    <w:rsid w:val="00A430EC"/>
    <w:rsid w:val="00A52221"/>
    <w:rsid w:val="00A53724"/>
    <w:rsid w:val="00A54B2B"/>
    <w:rsid w:val="00A6284E"/>
    <w:rsid w:val="00A63A03"/>
    <w:rsid w:val="00A82346"/>
    <w:rsid w:val="00A84825"/>
    <w:rsid w:val="00A86390"/>
    <w:rsid w:val="00A86637"/>
    <w:rsid w:val="00A87534"/>
    <w:rsid w:val="00A877B4"/>
    <w:rsid w:val="00A91D7C"/>
    <w:rsid w:val="00A9671C"/>
    <w:rsid w:val="00AA1553"/>
    <w:rsid w:val="00AB29FF"/>
    <w:rsid w:val="00AC0D86"/>
    <w:rsid w:val="00AC40DE"/>
    <w:rsid w:val="00AC597A"/>
    <w:rsid w:val="00AD3B76"/>
    <w:rsid w:val="00AD7945"/>
    <w:rsid w:val="00B05380"/>
    <w:rsid w:val="00B05962"/>
    <w:rsid w:val="00B0683D"/>
    <w:rsid w:val="00B07185"/>
    <w:rsid w:val="00B15449"/>
    <w:rsid w:val="00B15ED6"/>
    <w:rsid w:val="00B16C2F"/>
    <w:rsid w:val="00B27303"/>
    <w:rsid w:val="00B31DBE"/>
    <w:rsid w:val="00B46AA1"/>
    <w:rsid w:val="00B470B7"/>
    <w:rsid w:val="00B47FD1"/>
    <w:rsid w:val="00B516BB"/>
    <w:rsid w:val="00B5644E"/>
    <w:rsid w:val="00B57EC9"/>
    <w:rsid w:val="00B63E4F"/>
    <w:rsid w:val="00B7198B"/>
    <w:rsid w:val="00B7538C"/>
    <w:rsid w:val="00B84DB2"/>
    <w:rsid w:val="00BB7BB0"/>
    <w:rsid w:val="00BC0D09"/>
    <w:rsid w:val="00BC3555"/>
    <w:rsid w:val="00BD4336"/>
    <w:rsid w:val="00BF592D"/>
    <w:rsid w:val="00C05901"/>
    <w:rsid w:val="00C1216C"/>
    <w:rsid w:val="00C12B51"/>
    <w:rsid w:val="00C14FAF"/>
    <w:rsid w:val="00C24650"/>
    <w:rsid w:val="00C25465"/>
    <w:rsid w:val="00C33079"/>
    <w:rsid w:val="00C46387"/>
    <w:rsid w:val="00C55A12"/>
    <w:rsid w:val="00C60992"/>
    <w:rsid w:val="00C6553E"/>
    <w:rsid w:val="00C727A9"/>
    <w:rsid w:val="00C83A13"/>
    <w:rsid w:val="00C86F10"/>
    <w:rsid w:val="00C9068C"/>
    <w:rsid w:val="00C92967"/>
    <w:rsid w:val="00CA2A75"/>
    <w:rsid w:val="00CA3D0C"/>
    <w:rsid w:val="00CA654B"/>
    <w:rsid w:val="00CB72B8"/>
    <w:rsid w:val="00CC1DEA"/>
    <w:rsid w:val="00CC3BAB"/>
    <w:rsid w:val="00CC5C85"/>
    <w:rsid w:val="00CD0BA8"/>
    <w:rsid w:val="00CD30A8"/>
    <w:rsid w:val="00CD4C7B"/>
    <w:rsid w:val="00CD58FE"/>
    <w:rsid w:val="00CE380D"/>
    <w:rsid w:val="00CF2198"/>
    <w:rsid w:val="00CF3468"/>
    <w:rsid w:val="00D03CAE"/>
    <w:rsid w:val="00D20C98"/>
    <w:rsid w:val="00D24A3A"/>
    <w:rsid w:val="00D259A0"/>
    <w:rsid w:val="00D33BE3"/>
    <w:rsid w:val="00D33E66"/>
    <w:rsid w:val="00D371A7"/>
    <w:rsid w:val="00D3792D"/>
    <w:rsid w:val="00D43DB3"/>
    <w:rsid w:val="00D55E47"/>
    <w:rsid w:val="00D56987"/>
    <w:rsid w:val="00D62E19"/>
    <w:rsid w:val="00D67CD1"/>
    <w:rsid w:val="00D71BC6"/>
    <w:rsid w:val="00D738D6"/>
    <w:rsid w:val="00D80795"/>
    <w:rsid w:val="00D808DC"/>
    <w:rsid w:val="00D854BE"/>
    <w:rsid w:val="00D87E00"/>
    <w:rsid w:val="00D9134D"/>
    <w:rsid w:val="00D96D11"/>
    <w:rsid w:val="00DA7A03"/>
    <w:rsid w:val="00DB0DB8"/>
    <w:rsid w:val="00DB1818"/>
    <w:rsid w:val="00DC309B"/>
    <w:rsid w:val="00DC4DA2"/>
    <w:rsid w:val="00DC5261"/>
    <w:rsid w:val="00DE04D0"/>
    <w:rsid w:val="00DE25D2"/>
    <w:rsid w:val="00DE5DCF"/>
    <w:rsid w:val="00DE690A"/>
    <w:rsid w:val="00DE7FA0"/>
    <w:rsid w:val="00DF76AF"/>
    <w:rsid w:val="00E07D14"/>
    <w:rsid w:val="00E35A07"/>
    <w:rsid w:val="00E425B3"/>
    <w:rsid w:val="00E43152"/>
    <w:rsid w:val="00E46C08"/>
    <w:rsid w:val="00E471CF"/>
    <w:rsid w:val="00E614BE"/>
    <w:rsid w:val="00E62835"/>
    <w:rsid w:val="00E70012"/>
    <w:rsid w:val="00E7085F"/>
    <w:rsid w:val="00E77089"/>
    <w:rsid w:val="00E77645"/>
    <w:rsid w:val="00E83697"/>
    <w:rsid w:val="00E859B6"/>
    <w:rsid w:val="00EA66C9"/>
    <w:rsid w:val="00EC0997"/>
    <w:rsid w:val="00EC0A5B"/>
    <w:rsid w:val="00EC4A25"/>
    <w:rsid w:val="00ED0A14"/>
    <w:rsid w:val="00EF612C"/>
    <w:rsid w:val="00F025A2"/>
    <w:rsid w:val="00F036E9"/>
    <w:rsid w:val="00F07388"/>
    <w:rsid w:val="00F111BE"/>
    <w:rsid w:val="00F11A14"/>
    <w:rsid w:val="00F11A38"/>
    <w:rsid w:val="00F2026E"/>
    <w:rsid w:val="00F2210A"/>
    <w:rsid w:val="00F24093"/>
    <w:rsid w:val="00F31372"/>
    <w:rsid w:val="00F37743"/>
    <w:rsid w:val="00F54A3D"/>
    <w:rsid w:val="00F54CB0"/>
    <w:rsid w:val="00F570D8"/>
    <w:rsid w:val="00F579CD"/>
    <w:rsid w:val="00F653B8"/>
    <w:rsid w:val="00F71B89"/>
    <w:rsid w:val="00F7353C"/>
    <w:rsid w:val="00F76F8F"/>
    <w:rsid w:val="00F941DF"/>
    <w:rsid w:val="00F954A7"/>
    <w:rsid w:val="00FA1266"/>
    <w:rsid w:val="00FA332D"/>
    <w:rsid w:val="00FB155D"/>
    <w:rsid w:val="00FB36FA"/>
    <w:rsid w:val="00FB5F4E"/>
    <w:rsid w:val="00FC1192"/>
    <w:rsid w:val="00FC12F8"/>
    <w:rsid w:val="00FC614A"/>
    <w:rsid w:val="00FE106D"/>
    <w:rsid w:val="00FE251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F19EE1ED-CA7C-481E-9574-A636ECB5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9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3152"/>
    <w:pPr>
      <w:spacing w:before="100" w:beforeAutospacing="1" w:after="100" w:afterAutospacing="1"/>
    </w:pPr>
    <w:rPr>
      <w:sz w:val="24"/>
      <w:szCs w:val="24"/>
      <w:lang w:val="en-US"/>
    </w:rPr>
  </w:style>
  <w:style w:type="paragraph" w:styleId="ListParagraph">
    <w:name w:val="List Paragraph"/>
    <w:aliases w:val="- Bullets"/>
    <w:basedOn w:val="Normal"/>
    <w:link w:val="ListParagraphChar"/>
    <w:uiPriority w:val="34"/>
    <w:qFormat/>
    <w:rsid w:val="00E43152"/>
    <w:pPr>
      <w:spacing w:after="0"/>
      <w:ind w:left="720"/>
      <w:contextualSpacing/>
    </w:pPr>
    <w:rPr>
      <w:sz w:val="24"/>
      <w:szCs w:val="24"/>
      <w:lang w:val="en-US"/>
    </w:rPr>
  </w:style>
  <w:style w:type="character" w:customStyle="1" w:styleId="ListParagraphChar">
    <w:name w:val="List Paragraph Char"/>
    <w:aliases w:val="- Bullets Char"/>
    <w:link w:val="ListParagraph"/>
    <w:uiPriority w:val="34"/>
    <w:qFormat/>
    <w:locked/>
    <w:rsid w:val="00DE7FA0"/>
    <w:rPr>
      <w:sz w:val="24"/>
      <w:szCs w:val="24"/>
      <w:lang w:val="en-US" w:eastAsia="en-US"/>
    </w:rPr>
  </w:style>
  <w:style w:type="character" w:styleId="CommentReference">
    <w:name w:val="annotation reference"/>
    <w:basedOn w:val="DefaultParagraphFont"/>
    <w:rsid w:val="00FB155D"/>
    <w:rPr>
      <w:sz w:val="16"/>
      <w:szCs w:val="16"/>
    </w:rPr>
  </w:style>
  <w:style w:type="paragraph" w:styleId="CommentText">
    <w:name w:val="annotation text"/>
    <w:basedOn w:val="Normal"/>
    <w:link w:val="CommentTextChar"/>
    <w:rsid w:val="00FB155D"/>
  </w:style>
  <w:style w:type="character" w:customStyle="1" w:styleId="CommentTextChar">
    <w:name w:val="Comment Text Char"/>
    <w:basedOn w:val="DefaultParagraphFont"/>
    <w:link w:val="CommentText"/>
    <w:rsid w:val="00FB155D"/>
    <w:rPr>
      <w:lang w:eastAsia="en-US"/>
    </w:rPr>
  </w:style>
  <w:style w:type="paragraph" w:styleId="CommentSubject">
    <w:name w:val="annotation subject"/>
    <w:basedOn w:val="CommentText"/>
    <w:next w:val="CommentText"/>
    <w:link w:val="CommentSubjectChar"/>
    <w:rsid w:val="00FB155D"/>
    <w:rPr>
      <w:b/>
      <w:bCs/>
    </w:rPr>
  </w:style>
  <w:style w:type="character" w:customStyle="1" w:styleId="CommentSubjectChar">
    <w:name w:val="Comment Subject Char"/>
    <w:basedOn w:val="CommentTextChar"/>
    <w:link w:val="CommentSubject"/>
    <w:rsid w:val="00FB155D"/>
    <w:rPr>
      <w:b/>
      <w:bCs/>
      <w:lang w:eastAsia="en-US"/>
    </w:rPr>
  </w:style>
  <w:style w:type="paragraph" w:styleId="Revision">
    <w:name w:val="Revision"/>
    <w:hidden/>
    <w:uiPriority w:val="99"/>
    <w:semiHidden/>
    <w:rsid w:val="00306AB2"/>
    <w:rPr>
      <w:lang w:eastAsia="en-US"/>
    </w:rPr>
  </w:style>
  <w:style w:type="paragraph" w:styleId="Caption">
    <w:name w:val="caption"/>
    <w:basedOn w:val="Normal"/>
    <w:next w:val="Normal"/>
    <w:unhideWhenUsed/>
    <w:qFormat/>
    <w:rsid w:val="00387E4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042506">
      <w:bodyDiv w:val="1"/>
      <w:marLeft w:val="0"/>
      <w:marRight w:val="0"/>
      <w:marTop w:val="0"/>
      <w:marBottom w:val="0"/>
      <w:divBdr>
        <w:top w:val="none" w:sz="0" w:space="0" w:color="auto"/>
        <w:left w:val="none" w:sz="0" w:space="0" w:color="auto"/>
        <w:bottom w:val="none" w:sz="0" w:space="0" w:color="auto"/>
        <w:right w:val="none" w:sz="0" w:space="0" w:color="auto"/>
      </w:divBdr>
    </w:div>
    <w:div w:id="753865539">
      <w:bodyDiv w:val="1"/>
      <w:marLeft w:val="0"/>
      <w:marRight w:val="0"/>
      <w:marTop w:val="0"/>
      <w:marBottom w:val="0"/>
      <w:divBdr>
        <w:top w:val="none" w:sz="0" w:space="0" w:color="auto"/>
        <w:left w:val="none" w:sz="0" w:space="0" w:color="auto"/>
        <w:bottom w:val="none" w:sz="0" w:space="0" w:color="auto"/>
        <w:right w:val="none" w:sz="0" w:space="0" w:color="auto"/>
      </w:divBdr>
      <w:divsChild>
        <w:div w:id="727531227">
          <w:marLeft w:val="547"/>
          <w:marRight w:val="0"/>
          <w:marTop w:val="0"/>
          <w:marBottom w:val="120"/>
          <w:divBdr>
            <w:top w:val="none" w:sz="0" w:space="0" w:color="auto"/>
            <w:left w:val="none" w:sz="0" w:space="0" w:color="auto"/>
            <w:bottom w:val="none" w:sz="0" w:space="0" w:color="auto"/>
            <w:right w:val="none" w:sz="0" w:space="0" w:color="auto"/>
          </w:divBdr>
        </w:div>
        <w:div w:id="1396471377">
          <w:marLeft w:val="547"/>
          <w:marRight w:val="0"/>
          <w:marTop w:val="0"/>
          <w:marBottom w:val="120"/>
          <w:divBdr>
            <w:top w:val="none" w:sz="0" w:space="0" w:color="auto"/>
            <w:left w:val="none" w:sz="0" w:space="0" w:color="auto"/>
            <w:bottom w:val="none" w:sz="0" w:space="0" w:color="auto"/>
            <w:right w:val="none" w:sz="0" w:space="0" w:color="auto"/>
          </w:divBdr>
        </w:div>
        <w:div w:id="1410078279">
          <w:marLeft w:val="547"/>
          <w:marRight w:val="0"/>
          <w:marTop w:val="0"/>
          <w:marBottom w:val="120"/>
          <w:divBdr>
            <w:top w:val="none" w:sz="0" w:space="0" w:color="auto"/>
            <w:left w:val="none" w:sz="0" w:space="0" w:color="auto"/>
            <w:bottom w:val="none" w:sz="0" w:space="0" w:color="auto"/>
            <w:right w:val="none" w:sz="0" w:space="0" w:color="auto"/>
          </w:divBdr>
        </w:div>
        <w:div w:id="1797799652">
          <w:marLeft w:val="547"/>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6800449">
      <w:bodyDiv w:val="1"/>
      <w:marLeft w:val="0"/>
      <w:marRight w:val="0"/>
      <w:marTop w:val="0"/>
      <w:marBottom w:val="0"/>
      <w:divBdr>
        <w:top w:val="none" w:sz="0" w:space="0" w:color="auto"/>
        <w:left w:val="none" w:sz="0" w:space="0" w:color="auto"/>
        <w:bottom w:val="none" w:sz="0" w:space="0" w:color="auto"/>
        <w:right w:val="none" w:sz="0" w:space="0" w:color="auto"/>
      </w:divBdr>
      <w:divsChild>
        <w:div w:id="318774469">
          <w:marLeft w:val="547"/>
          <w:marRight w:val="0"/>
          <w:marTop w:val="0"/>
          <w:marBottom w:val="120"/>
          <w:divBdr>
            <w:top w:val="none" w:sz="0" w:space="0" w:color="auto"/>
            <w:left w:val="none" w:sz="0" w:space="0" w:color="auto"/>
            <w:bottom w:val="none" w:sz="0" w:space="0" w:color="auto"/>
            <w:right w:val="none" w:sz="0" w:space="0" w:color="auto"/>
          </w:divBdr>
        </w:div>
        <w:div w:id="1174801040">
          <w:marLeft w:val="547"/>
          <w:marRight w:val="0"/>
          <w:marTop w:val="0"/>
          <w:marBottom w:val="120"/>
          <w:divBdr>
            <w:top w:val="none" w:sz="0" w:space="0" w:color="auto"/>
            <w:left w:val="none" w:sz="0" w:space="0" w:color="auto"/>
            <w:bottom w:val="none" w:sz="0" w:space="0" w:color="auto"/>
            <w:right w:val="none" w:sz="0" w:space="0" w:color="auto"/>
          </w:divBdr>
        </w:div>
        <w:div w:id="1205875513">
          <w:marLeft w:val="547"/>
          <w:marRight w:val="0"/>
          <w:marTop w:val="0"/>
          <w:marBottom w:val="120"/>
          <w:divBdr>
            <w:top w:val="none" w:sz="0" w:space="0" w:color="auto"/>
            <w:left w:val="none" w:sz="0" w:space="0" w:color="auto"/>
            <w:bottom w:val="none" w:sz="0" w:space="0" w:color="auto"/>
            <w:right w:val="none" w:sz="0" w:space="0" w:color="auto"/>
          </w:divBdr>
        </w:div>
        <w:div w:id="1799640286">
          <w:marLeft w:val="54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7658857">
      <w:bodyDiv w:val="1"/>
      <w:marLeft w:val="0"/>
      <w:marRight w:val="0"/>
      <w:marTop w:val="0"/>
      <w:marBottom w:val="0"/>
      <w:divBdr>
        <w:top w:val="none" w:sz="0" w:space="0" w:color="auto"/>
        <w:left w:val="none" w:sz="0" w:space="0" w:color="auto"/>
        <w:bottom w:val="none" w:sz="0" w:space="0" w:color="auto"/>
        <w:right w:val="none" w:sz="0" w:space="0" w:color="auto"/>
      </w:divBdr>
    </w:div>
    <w:div w:id="1769696100">
      <w:bodyDiv w:val="1"/>
      <w:marLeft w:val="0"/>
      <w:marRight w:val="0"/>
      <w:marTop w:val="0"/>
      <w:marBottom w:val="0"/>
      <w:divBdr>
        <w:top w:val="none" w:sz="0" w:space="0" w:color="auto"/>
        <w:left w:val="none" w:sz="0" w:space="0" w:color="auto"/>
        <w:bottom w:val="none" w:sz="0" w:space="0" w:color="auto"/>
        <w:right w:val="none" w:sz="0" w:space="0" w:color="auto"/>
      </w:divBdr>
    </w:div>
    <w:div w:id="211139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7-e/Docs/R1-2112834.zip" TargetMode="External"/><Relationship Id="rId18" Type="http://schemas.openxmlformats.org/officeDocument/2006/relationships/image" Target="media/image3.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tmp"/><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16-e\Docs\R2-2111282.zip"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tmp"/><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b-e/LS/Outgoing/R1-2110647.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5AIRPNAIUNRU-859666464-10278</_dlc_DocId>
    <_dlc_DocIdUrl xmlns="71c5aaf6-e6ce-465b-b873-5148d2a4c105">
      <Url>https://nokia.sharepoint.com/sites/c5g/e2earch/_layouts/15/DocIdRedir.aspx?ID=5AIRPNAIUNRU-859666464-10278</Url>
      <Description>5AIRPNAIUNRU-859666464-10278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a3840f4f-04be-43d1-b2ef-6ff1382503c7"/>
    <ds:schemaRef ds:uri="http://schemas.microsoft.com/office/infopath/2007/PartnerControls"/>
    <ds:schemaRef ds:uri="83f22d2f-d16e-4be6-ad4f-29fa0b067c3c"/>
    <ds:schemaRef ds:uri="http://purl.org/dc/terms/"/>
    <ds:schemaRef ds:uri="3b34c8f0-1ef5-4d1e-bb66-517ce7fe7356"/>
    <ds:schemaRef ds:uri="http://schemas.microsoft.com/office/2006/documentManagement/types"/>
    <ds:schemaRef ds:uri="71c5aaf6-e6ce-465b-b873-5148d2a4c105"/>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1469</TotalTime>
  <Pages>7</Pages>
  <Words>2979</Words>
  <Characters>16356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19297</CharactersWithSpaces>
  <SharedDoc>false</SharedDoc>
  <HyperlinkBase/>
  <HLinks>
    <vt:vector size="18" baseType="variant">
      <vt:variant>
        <vt:i4>1245225</vt:i4>
      </vt:variant>
      <vt:variant>
        <vt:i4>6</vt:i4>
      </vt:variant>
      <vt:variant>
        <vt:i4>0</vt:i4>
      </vt:variant>
      <vt:variant>
        <vt:i4>5</vt:i4>
      </vt:variant>
      <vt:variant>
        <vt:lpwstr>https://www.3gpp.org/ftp/tsg_ran/WG1_RL1/TSGR1_106b-e/LS/Outgoing/R1-2110647.zip</vt:lpwstr>
      </vt:variant>
      <vt:variant>
        <vt:lpwstr/>
      </vt:variant>
      <vt:variant>
        <vt:i4>1441898</vt:i4>
      </vt:variant>
      <vt:variant>
        <vt:i4>3</vt:i4>
      </vt:variant>
      <vt:variant>
        <vt:i4>0</vt:i4>
      </vt:variant>
      <vt:variant>
        <vt:i4>5</vt:i4>
      </vt:variant>
      <vt:variant>
        <vt:lpwstr>https://www.3gpp.org/ftp/tsg_ran/WG1_RL1/TSGR1_107-e/Docs/R1-2112834.zip</vt:lpwstr>
      </vt:variant>
      <vt:variant>
        <vt:lpwstr/>
      </vt:variant>
      <vt:variant>
        <vt:i4>7340117</vt:i4>
      </vt:variant>
      <vt:variant>
        <vt:i4>0</vt:i4>
      </vt:variant>
      <vt:variant>
        <vt:i4>0</vt:i4>
      </vt:variant>
      <vt:variant>
        <vt:i4>5</vt:i4>
      </vt:variant>
      <vt:variant>
        <vt:lpwstr>C:\Users\panidx\OneDrive - InterDigital Communications, Inc\Documents\3GPP RAN\TSGR2_116-e\Docs\R2-2111282.zip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246</cp:revision>
  <dcterms:created xsi:type="dcterms:W3CDTF">2016-08-11T09:53:00Z</dcterms:created>
  <dcterms:modified xsi:type="dcterms:W3CDTF">2022-01-07T14:20:00Z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f6d5b02a-c90e-49a8-a377-0f6411b4bed8</vt:lpwstr>
  </property>
</Properties>
</file>